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PT Astra Serif" w:hAnsi="PT Astra Serif" w:eastAsia="Times New Roman" w:cs="Times New Roman"/>
          <w:spacing w:val="-11"/>
          <w:sz w:val="24"/>
          <w:szCs w:val="24"/>
          <w:lang w:eastAsia="ru-RU"/>
        </w:rPr>
      </w:pPr>
      <w:r>
        <w:rPr>
          <w:rFonts w:ascii="PT Astra Serif" w:hAnsi="PT Astra Serif" w:eastAsia="Times New Roman" w:cs="Times New Roman"/>
          <w:spacing w:val="-11"/>
          <w:sz w:val="24"/>
          <w:szCs w:val="24"/>
          <w:lang w:eastAsia="ru-RU"/>
        </w:rPr>
      </w:r>
      <w:r>
        <w:rPr>
          <w:rFonts w:ascii="PT Astra Serif" w:hAnsi="PT Astra Serif" w:eastAsia="Times New Roman" w:cs="Times New Roman"/>
          <w:spacing w:val="-11"/>
          <w:sz w:val="24"/>
          <w:szCs w:val="24"/>
          <w:lang w:eastAsia="ru-RU"/>
        </w:rPr>
      </w:r>
      <w:r>
        <w:rPr>
          <w:rFonts w:ascii="PT Astra Serif" w:hAnsi="PT Astra Serif" w:eastAsia="Times New Roman" w:cs="Times New Roman"/>
          <w:spacing w:val="-11"/>
          <w:sz w:val="24"/>
          <w:szCs w:val="24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PT Astra Serif" w:hAnsi="PT Astra Serif" w:eastAsia="Times New Roman" w:cs="Times New Roman"/>
          <w:sz w:val="24"/>
          <w:szCs w:val="24"/>
          <w:lang w:eastAsia="ru-RU"/>
        </w:rPr>
      </w:pPr>
      <w:r>
        <w:rPr>
          <w:rFonts w:ascii="PT Astra Serif" w:hAnsi="PT Astra Serif" w:eastAsia="Times New Roman" w:cs="Times New Roman"/>
          <w:sz w:val="24"/>
          <w:szCs w:val="24"/>
          <w:lang w:eastAsia="ru-RU"/>
        </w:rPr>
        <w:t xml:space="preserve">АДМИНИСТРАЦИЯ ГОРОДА БАРНАУЛА</w:t>
      </w:r>
      <w:r>
        <w:rPr>
          <w:rFonts w:ascii="PT Astra Serif" w:hAnsi="PT Astra Serif" w:eastAsia="Times New Roman" w:cs="Times New Roman"/>
          <w:sz w:val="24"/>
          <w:szCs w:val="24"/>
          <w:lang w:eastAsia="ru-RU"/>
        </w:rPr>
      </w:r>
      <w:r>
        <w:rPr>
          <w:rFonts w:ascii="PT Astra Serif" w:hAnsi="PT Astra Serif" w:eastAsia="Times New Roman" w:cs="Times New Roman"/>
          <w:sz w:val="24"/>
          <w:szCs w:val="24"/>
          <w:lang w:eastAsia="ru-RU"/>
        </w:rPr>
      </w:r>
    </w:p>
    <w:p>
      <w:pPr>
        <w:jc w:val="center"/>
        <w:keepNext/>
        <w:spacing w:before="182" w:after="0" w:line="240" w:lineRule="auto"/>
        <w:shd w:val="clear" w:color="auto" w:fill="ffffff"/>
        <w:widowControl w:val="off"/>
        <w:rPr>
          <w:rFonts w:ascii="Arial Black" w:hAnsi="Arial Black" w:eastAsia="Times New Roman" w:cs="Arial"/>
          <w:b/>
          <w:bCs/>
          <w:sz w:val="30"/>
          <w:szCs w:val="30"/>
          <w:lang w:eastAsia="ru-RU"/>
        </w:rPr>
        <w:outlineLvl w:val="0"/>
      </w:pPr>
      <w:r>
        <w:rPr>
          <w:rFonts w:ascii="Arial Black" w:hAnsi="Arial Black" w:eastAsia="Times New Roman" w:cs="Arial"/>
          <w:b/>
          <w:bCs/>
          <w:sz w:val="30"/>
          <w:szCs w:val="30"/>
          <w:lang w:eastAsia="ru-RU"/>
        </w:rPr>
        <w:t xml:space="preserve">ПОСТАНОВЛЕНИЕ</w:t>
      </w:r>
      <w:r>
        <w:rPr>
          <w:rFonts w:ascii="Arial Black" w:hAnsi="Arial Black" w:eastAsia="Times New Roman" w:cs="Arial"/>
          <w:b/>
          <w:bCs/>
          <w:sz w:val="30"/>
          <w:szCs w:val="30"/>
          <w:lang w:eastAsia="ru-RU"/>
        </w:rPr>
      </w:r>
      <w:r>
        <w:rPr>
          <w:rFonts w:ascii="Arial Black" w:hAnsi="Arial Black" w:eastAsia="Times New Roman" w:cs="Arial"/>
          <w:b/>
          <w:bCs/>
          <w:sz w:val="30"/>
          <w:szCs w:val="30"/>
          <w:lang w:eastAsia="ru-RU"/>
        </w:rPr>
      </w:r>
    </w:p>
    <w:p>
      <w:pPr>
        <w:jc w:val="center"/>
        <w:spacing w:after="0" w:line="240" w:lineRule="auto"/>
        <w:rPr>
          <w:rFonts w:ascii="PT Astra Serif" w:hAnsi="PT Astra Serif" w:eastAsia="Times New Roman" w:cs="Times New Roman"/>
          <w:sz w:val="24"/>
          <w:szCs w:val="24"/>
          <w:lang w:eastAsia="ru-RU"/>
        </w:rPr>
      </w:pPr>
      <w:r>
        <w:rPr>
          <w:rFonts w:ascii="PT Astra Serif" w:hAnsi="PT Astra Serif" w:eastAsia="Times New Roman" w:cs="Times New Roman"/>
          <w:sz w:val="24"/>
          <w:szCs w:val="24"/>
          <w:lang w:eastAsia="ru-RU"/>
        </w:rPr>
      </w:r>
      <w:r>
        <w:rPr>
          <w:rFonts w:ascii="PT Astra Serif" w:hAnsi="PT Astra Serif" w:eastAsia="Times New Roman" w:cs="Times New Roman"/>
          <w:sz w:val="24"/>
          <w:szCs w:val="24"/>
          <w:lang w:eastAsia="ru-RU"/>
        </w:rPr>
      </w:r>
      <w:r>
        <w:rPr>
          <w:rFonts w:ascii="PT Astra Serif" w:hAnsi="PT Astra Serif" w:eastAsia="Times New Roman" w:cs="Times New Roman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PT Astra Serif" w:hAnsi="PT Astra Serif" w:eastAsia="Times New Roman" w:cs="Times New Roman"/>
          <w:sz w:val="24"/>
          <w:szCs w:val="24"/>
          <w:lang w:eastAsia="ru-RU"/>
        </w:rPr>
      </w:pPr>
      <w:r>
        <w:rPr>
          <w:rFonts w:ascii="PT Astra Serif" w:hAnsi="PT Astra Serif" w:eastAsia="Times New Roman" w:cs="Times New Roman"/>
          <w:sz w:val="24"/>
          <w:szCs w:val="24"/>
          <w:lang w:eastAsia="ru-RU"/>
        </w:rPr>
      </w:r>
      <w:r>
        <w:rPr>
          <w:rFonts w:ascii="PT Astra Serif" w:hAnsi="PT Astra Serif" w:eastAsia="Times New Roman" w:cs="Times New Roman"/>
          <w:sz w:val="24"/>
          <w:szCs w:val="24"/>
          <w:lang w:eastAsia="ru-RU"/>
        </w:rPr>
      </w:r>
      <w:r>
        <w:rPr>
          <w:rFonts w:ascii="PT Astra Serif" w:hAnsi="PT Astra Serif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PT Astra Serif" w:hAnsi="PT Astra Serif" w:eastAsia="Times New Roman" w:cs="Times New Roman"/>
          <w:sz w:val="24"/>
          <w:szCs w:val="24"/>
          <w:lang w:eastAsia="ru-RU"/>
        </w:rPr>
      </w:pP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От </w:t>
      </w:r>
      <w:r>
        <w:rPr>
          <w:rFonts w:ascii="PT Astra Serif" w:hAnsi="PT Astra Serif" w:eastAsia="Times New Roman" w:cs="Times New Roman"/>
          <w:sz w:val="24"/>
          <w:szCs w:val="24"/>
          <w:lang w:eastAsia="ru-RU"/>
        </w:rPr>
        <w:t xml:space="preserve">__________________</w:t>
      </w:r>
      <w:r>
        <w:rPr>
          <w:rFonts w:ascii="PT Astra Serif" w:hAnsi="PT Astra Serif" w:eastAsia="Times New Roman" w:cs="Times New Roman"/>
          <w:sz w:val="24"/>
          <w:szCs w:val="24"/>
          <w:lang w:eastAsia="ru-RU"/>
        </w:rPr>
        <w:tab/>
      </w:r>
      <w:r>
        <w:rPr>
          <w:rFonts w:ascii="PT Astra Serif" w:hAnsi="PT Astra Serif" w:eastAsia="Times New Roman" w:cs="Times New Roman"/>
          <w:sz w:val="24"/>
          <w:szCs w:val="24"/>
          <w:lang w:eastAsia="ru-RU"/>
        </w:rPr>
        <w:tab/>
      </w:r>
      <w:r>
        <w:rPr>
          <w:rFonts w:ascii="PT Astra Serif" w:hAnsi="PT Astra Serif" w:eastAsia="Times New Roman" w:cs="Times New Roman"/>
          <w:sz w:val="24"/>
          <w:szCs w:val="24"/>
          <w:lang w:eastAsia="ru-RU"/>
        </w:rPr>
        <w:tab/>
      </w:r>
      <w:r>
        <w:rPr>
          <w:rFonts w:ascii="PT Astra Serif" w:hAnsi="PT Astra Serif" w:eastAsia="Times New Roman" w:cs="Times New Roman"/>
          <w:sz w:val="24"/>
          <w:szCs w:val="24"/>
          <w:lang w:eastAsia="ru-RU"/>
        </w:rPr>
        <w:tab/>
      </w:r>
      <w:r>
        <w:rPr>
          <w:rFonts w:ascii="PT Astra Serif" w:hAnsi="PT Astra Serif" w:eastAsia="Times New Roman" w:cs="Times New Roman"/>
          <w:sz w:val="24"/>
          <w:szCs w:val="24"/>
          <w:lang w:eastAsia="ru-RU"/>
        </w:rPr>
        <w:tab/>
      </w:r>
      <w:r>
        <w:rPr>
          <w:rFonts w:ascii="PT Astra Serif" w:hAnsi="PT Astra Serif" w:eastAsia="Times New Roman" w:cs="Times New Roman"/>
          <w:sz w:val="24"/>
          <w:szCs w:val="24"/>
          <w:lang w:eastAsia="ru-RU"/>
        </w:rPr>
        <w:tab/>
        <w:t xml:space="preserve">          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№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_____________</w:t>
      </w:r>
      <w:r>
        <w:rPr>
          <w:rFonts w:ascii="PT Astra Serif" w:hAnsi="PT Astra Serif" w:eastAsia="Times New Roman" w:cs="Times New Roman"/>
          <w:sz w:val="24"/>
          <w:szCs w:val="24"/>
          <w:lang w:eastAsia="ru-RU"/>
        </w:rPr>
      </w:r>
      <w:r>
        <w:rPr>
          <w:rFonts w:ascii="PT Astra Serif" w:hAnsi="PT Astra Serif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PT Astra Serif" w:hAnsi="PT Astra Serif" w:eastAsia="Times New Roman" w:cs="Times New Roman"/>
          <w:sz w:val="24"/>
          <w:szCs w:val="24"/>
          <w:lang w:eastAsia="ru-RU"/>
        </w:rPr>
      </w:pPr>
      <w:r>
        <w:rPr>
          <w:rFonts w:ascii="PT Astra Serif" w:hAnsi="PT Astra Serif" w:eastAsia="Times New Roman" w:cs="Times New Roman"/>
          <w:sz w:val="24"/>
          <w:szCs w:val="24"/>
          <w:lang w:eastAsia="ru-RU"/>
        </w:rPr>
      </w:r>
      <w:r>
        <w:rPr>
          <w:rFonts w:ascii="PT Astra Serif" w:hAnsi="PT Astra Serif" w:eastAsia="Times New Roman" w:cs="Times New Roman"/>
          <w:sz w:val="24"/>
          <w:szCs w:val="24"/>
          <w:lang w:eastAsia="ru-RU"/>
        </w:rPr>
      </w:r>
      <w:r>
        <w:rPr>
          <w:rFonts w:ascii="PT Astra Serif" w:hAnsi="PT Astra Serif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PT Astra Serif" w:hAnsi="PT Astra Serif" w:eastAsia="Times New Roman" w:cs="Times New Roman"/>
          <w:sz w:val="24"/>
          <w:szCs w:val="24"/>
          <w:lang w:eastAsia="ru-RU"/>
        </w:rPr>
      </w:pPr>
      <w:r>
        <w:rPr>
          <w:rFonts w:ascii="PT Astra Serif" w:hAnsi="PT Astra Serif" w:eastAsia="Times New Roman" w:cs="Times New Roman"/>
          <w:sz w:val="24"/>
          <w:szCs w:val="24"/>
          <w:lang w:eastAsia="ru-RU"/>
        </w:rPr>
      </w:r>
      <w:r>
        <w:rPr>
          <w:rFonts w:ascii="PT Astra Serif" w:hAnsi="PT Astra Serif" w:eastAsia="Times New Roman" w:cs="Times New Roman"/>
          <w:sz w:val="24"/>
          <w:szCs w:val="24"/>
          <w:lang w:eastAsia="ru-RU"/>
        </w:rPr>
      </w:r>
      <w:r>
        <w:rPr>
          <w:rFonts w:ascii="PT Astra Serif" w:hAnsi="PT Astra Serif" w:eastAsia="Times New Roman" w:cs="Times New Roman"/>
          <w:sz w:val="24"/>
          <w:szCs w:val="24"/>
          <w:lang w:eastAsia="ru-RU"/>
        </w:rPr>
      </w:r>
    </w:p>
    <w:p>
      <w:pPr>
        <w:ind w:right="5103"/>
        <w:jc w:val="both"/>
        <w:spacing w:after="0" w:line="240" w:lineRule="auto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О внесении изменений </w:t>
      </w:r>
      <w:r>
        <w:rPr>
          <w:rFonts w:ascii="PT Astra Serif" w:hAnsi="PT Astra Serif" w:cs="Times New Roman"/>
          <w:sz w:val="28"/>
          <w:szCs w:val="28"/>
        </w:rPr>
        <w:br/>
        <w:t xml:space="preserve">в приложение к постановлению администрации города </w:t>
      </w:r>
      <w:r>
        <w:rPr>
          <w:rFonts w:ascii="PT Astra Serif" w:hAnsi="PT Astra Serif" w:cs="Times New Roman"/>
          <w:sz w:val="28"/>
          <w:szCs w:val="28"/>
        </w:rPr>
        <w:br/>
        <w:t xml:space="preserve">от 24.12.2019 №2149 (в редакции постановления от 27.02.2025 №263) </w:t>
      </w:r>
      <w:r>
        <w:rPr>
          <w:rFonts w:ascii="PT Astra Serif" w:hAnsi="PT Astra Serif" w:cs="Times New Roman"/>
          <w:sz w:val="28"/>
          <w:szCs w:val="28"/>
        </w:rPr>
      </w:r>
      <w:r>
        <w:rPr>
          <w:rFonts w:ascii="PT Astra Serif" w:hAnsi="PT Astra Serif" w:cs="Times New Roman"/>
          <w:sz w:val="28"/>
          <w:szCs w:val="28"/>
        </w:rPr>
      </w:r>
    </w:p>
    <w:p>
      <w:pPr>
        <w:ind w:right="5103"/>
        <w:jc w:val="both"/>
        <w:spacing w:after="0" w:line="240" w:lineRule="auto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</w:r>
      <w:r>
        <w:rPr>
          <w:rFonts w:ascii="PT Astra Serif" w:hAnsi="PT Astra Serif" w:cs="Times New Roman"/>
          <w:sz w:val="28"/>
          <w:szCs w:val="28"/>
        </w:rPr>
      </w:r>
      <w:r>
        <w:rPr>
          <w:rFonts w:ascii="PT Astra Serif" w:hAnsi="PT Astra Serif" w:cs="Times New Roman"/>
          <w:sz w:val="28"/>
          <w:szCs w:val="28"/>
        </w:rPr>
      </w:r>
    </w:p>
    <w:p>
      <w:pPr>
        <w:ind w:firstLine="720"/>
        <w:jc w:val="both"/>
        <w:spacing w:after="0" w:line="240" w:lineRule="auto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В соответствии с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решением</w:t>
      </w:r>
      <w:r>
        <w:rPr>
          <w:rFonts w:ascii="PT Astra Serif" w:hAnsi="PT Astra Serif" w:eastAsia="PT Astra Serif" w:cs="PT Astra Serif"/>
          <w:szCs w:val="28"/>
        </w:rPr>
        <w:t xml:space="preserve">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Барнаульской городской Думы от 05.12.2025 №610 «О бюджете города на 2026 год и на плановы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й период 2027 и 2028 годов», </w:t>
      </w:r>
      <w:r>
        <w:rPr>
          <w:rFonts w:ascii="PT Astra Serif" w:hAnsi="PT Astra Serif" w:cs="Times New Roman"/>
          <w:sz w:val="28"/>
          <w:szCs w:val="28"/>
        </w:rPr>
        <w:t xml:space="preserve">постановлением администрации города от 03.04.2014 №№635 «Об утверждении Порядка разработки, реализации и оценки эффективности муниципальных программ» администрация города Барнаула </w:t>
      </w:r>
      <w:r>
        <w:rPr>
          <w:rFonts w:ascii="PT Astra Serif" w:hAnsi="PT Astra Serif" w:cs="Times New Roman"/>
          <w:spacing w:val="30"/>
          <w:sz w:val="28"/>
          <w:szCs w:val="28"/>
        </w:rPr>
        <w:t xml:space="preserve">постановляет:</w:t>
      </w:r>
      <w:r>
        <w:rPr>
          <w:rFonts w:ascii="PT Astra Serif" w:hAnsi="PT Astra Serif" w:cs="Times New Roman"/>
          <w:sz w:val="28"/>
          <w:szCs w:val="28"/>
        </w:rPr>
      </w:r>
      <w:r>
        <w:rPr>
          <w:rFonts w:ascii="PT Astra Serif" w:hAnsi="PT Astra Serif" w:cs="Times New Roman"/>
          <w:sz w:val="28"/>
          <w:szCs w:val="28"/>
        </w:rPr>
      </w:r>
    </w:p>
    <w:p>
      <w:pPr>
        <w:pStyle w:val="716"/>
        <w:ind w:right="-2"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1. Внести в приложение к постановлению админи</w:t>
      </w:r>
      <w:r>
        <w:rPr>
          <w:rFonts w:ascii="PT Astra Serif" w:hAnsi="PT Astra Serif"/>
          <w:sz w:val="28"/>
          <w:szCs w:val="28"/>
        </w:rPr>
        <w:t xml:space="preserve">страции города           от 24.12.2019 №2149 «Об утверждении муниципальной программы «Совершенствование муниципального управления и реализация национальной политики в городе Барнауле» (в редакции постановления от 27.02.2025 №263) следующие изменения:</w:t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1.1. 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Раздел «ПАСПОРТ муниципальной программы «Совершенствование муниципального управления и реализация национальной политики в городе Барнауле» изложить в новой редакции (приложение 1);</w:t>
      </w:r>
      <w:bookmarkStart w:id="0" w:name="_GoBack"/>
      <w:r/>
      <w:bookmarkEnd w:id="0"/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1.2. </w:t>
      </w:r>
      <w:r>
        <w:rPr>
          <w:rFonts w:ascii="PT Astra Serif" w:hAnsi="PT Astra Serif"/>
          <w:sz w:val="28"/>
          <w:szCs w:val="28"/>
        </w:rPr>
        <w:t xml:space="preserve">В разделе</w:t>
      </w:r>
      <w:r>
        <w:rPr>
          <w:rFonts w:ascii="PT Astra Serif" w:hAnsi="PT Astra Serif"/>
          <w:sz w:val="28"/>
          <w:szCs w:val="28"/>
        </w:rPr>
        <w:t xml:space="preserve"> 2 «Приоритеты муниципальной политики в сфере реализации Программы, цель и задачи, описание основных ожидаемых конечных результатов Программы, сроков и этапов ее реализации»: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 w:eastAsia="PT Astra Serif" w:cs="PT Astra Serif"/>
          <w:sz w:val="28"/>
          <w:szCs w:val="28"/>
        </w:rPr>
      </w:pP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1.2.1. </w:t>
      </w:r>
      <w:r>
        <w:rPr>
          <w:rFonts w:ascii="PT Astra Serif" w:hAnsi="PT Astra Serif"/>
          <w:sz w:val="28"/>
          <w:szCs w:val="28"/>
        </w:rPr>
        <w:t xml:space="preserve">Подразделы 2.3, 2.4 изложить в следующей редакции:</w:t>
      </w:r>
      <w:r>
        <w:rPr>
          <w:rFonts w:ascii="PT Astra Serif" w:hAnsi="PT Astra Serif" w:eastAsia="PT Astra Serif" w:cs="PT Astra Serif"/>
          <w:sz w:val="28"/>
          <w:szCs w:val="28"/>
        </w:rPr>
      </w:r>
      <w:r>
        <w:rPr>
          <w:rFonts w:ascii="PT Astra Serif" w:hAnsi="PT Astra Serif" w:eastAsia="PT Astra Serif" w:cs="PT Astra Serif"/>
          <w:sz w:val="28"/>
          <w:szCs w:val="28"/>
        </w:rPr>
      </w:r>
    </w:p>
    <w:p>
      <w:pPr>
        <w:ind w:firstLine="709"/>
        <w:jc w:val="center"/>
        <w:spacing w:after="0" w:line="240" w:lineRule="auto"/>
        <w:rPr>
          <w:rFonts w:ascii="PT Astra Serif" w:hAnsi="PT Astra Serif" w:eastAsia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«2.3.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К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онечные результаты реализации Программы</w:t>
      </w:r>
      <w:r>
        <w:rPr>
          <w:rFonts w:ascii="PT Astra Serif" w:hAnsi="PT Astra Serif" w:eastAsia="PT Astra Serif" w:cs="PT Astra Serif"/>
          <w:sz w:val="28"/>
          <w:szCs w:val="28"/>
        </w:rPr>
      </w:r>
      <w:r>
        <w:rPr>
          <w:rFonts w:ascii="PT Astra Serif" w:hAnsi="PT Astra Serif" w:eastAsia="PT Astra Serif" w:cs="PT Astra Serif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 w:eastAsia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В ходе реализации Программы планируется достижение следующих конечных результатов:</w:t>
      </w:r>
      <w:r>
        <w:rPr>
          <w:rFonts w:ascii="PT Astra Serif" w:hAnsi="PT Astra Serif" w:eastAsia="PT Astra Serif" w:cs="PT Astra Serif"/>
          <w:sz w:val="28"/>
          <w:szCs w:val="28"/>
        </w:rPr>
      </w:r>
      <w:r>
        <w:rPr>
          <w:rFonts w:ascii="PT Astra Serif" w:hAnsi="PT Astra Serif" w:eastAsia="PT Astra Serif" w:cs="PT Astra Serif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 w:cs="PT Astra Serif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/>
          <w:sz w:val="28"/>
          <w:szCs w:val="28"/>
        </w:rPr>
        <w:t xml:space="preserve">ежегодный охват дополнительным профессиональным образованием за счет средств подпрограммы «Совершенствование кадрового обеспечения му</w:t>
      </w:r>
      <w:r>
        <w:rPr>
          <w:rFonts w:ascii="PT Astra Serif" w:hAnsi="PT Astra Serif" w:eastAsia="PT Astra Serif" w:cs="PT Astra Serif"/>
          <w:color w:val="000000"/>
          <w:sz w:val="28"/>
          <w:szCs w:val="28"/>
        </w:rPr>
        <w:t xml:space="preserve">ниципального управления в городе Барнауле» не менее 22,0% муниципальных служащих;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 w:cs="PT Astra Serif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sz w:val="28"/>
          <w:szCs w:val="28"/>
        </w:rPr>
        <w:t xml:space="preserve">увеличение количества городских мероприятий, направленных на гармонизацию межнациональных и межконфессиональных отношений и развитие национальных культур в городе Барнауле, д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о 300 в год;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 w:cs="PT Astra Serif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/>
          <w:sz w:val="28"/>
          <w:szCs w:val="28"/>
        </w:rPr>
        <w:t xml:space="preserve">увеличение доли потенциальных объектов террористических посягательств, находящихся в муниципальной собственности или в ведении органов местного самоуправления города Барнаула, имеющих актуальный паспорт безопасности, от их общего числа до 96,0</w:t>
      </w:r>
      <w:r>
        <w:rPr>
          <w:rFonts w:ascii="PT Astra Serif" w:hAnsi="PT Astra Serif" w:eastAsia="PT Astra Serif" w:cs="PT Astra Serif"/>
          <w:color w:val="000000"/>
          <w:sz w:val="28"/>
          <w:szCs w:val="28"/>
        </w:rPr>
        <w:t xml:space="preserve">%.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/>
          <w:sz w:val="28"/>
          <w:szCs w:val="28"/>
        </w:rPr>
        <w:t xml:space="preserve">Сведения об индикаторах Программы представлены в </w:t>
      </w:r>
      <w:hyperlink r:id="rId10" w:tooltip="http://garant.adm.local/#/document/73326672/entry/5000" w:anchor="/document/73326672/entry/5000" w:history="1">
        <w:r>
          <w:rPr>
            <w:rStyle w:val="902"/>
            <w:rFonts w:ascii="PT Astra Serif" w:hAnsi="PT Astra Serif" w:eastAsia="PT Astra Serif" w:cs="PT Astra Serif"/>
            <w:color w:val="000000" w:themeColor="text1"/>
            <w:sz w:val="28"/>
            <w:szCs w:val="28"/>
            <w:u w:val="none"/>
          </w:rPr>
          <w:t xml:space="preserve">приложении 5</w:t>
        </w:r>
      </w:hyperlink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 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br/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к Программе.»;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</w:r>
    </w:p>
    <w:p>
      <w:pPr>
        <w:ind w:firstLine="709"/>
        <w:jc w:val="center"/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«2.4. Сроки и этапы реализации Программы</w:t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Программа реализуется в течение 2020-2028 годов без деления на этапы.»;</w:t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1.3. Раздел 4 изложить в следующей редакции: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</w:p>
    <w:p>
      <w:pPr>
        <w:ind w:firstLine="709"/>
        <w:jc w:val="center"/>
        <w:spacing w:after="0" w:line="240" w:lineRule="auto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«4. Общий объем финансовых ресурсов, необходимых для реализации Программы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Объем финансирования Программы за счет всех источников 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br/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в 2020 – 2028 годах составляет 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1 563</w:t>
      </w:r>
      <w:r>
        <w:rPr>
          <w:rFonts w:ascii="PT Astra Serif" w:hAnsi="PT Astra Serif" w:eastAsia="Times New Roman" w:cs="Times New Roman"/>
          <w:color w:val="000000"/>
          <w:sz w:val="28"/>
          <w:szCs w:val="28"/>
          <w:lang w:eastAsia="ru-RU"/>
        </w:rPr>
        <w:t xml:space="preserve"> 501,75174 </w:t>
      </w:r>
      <w:r>
        <w:rPr>
          <w:rFonts w:ascii="PT Astra Serif" w:hAnsi="PT Astra Serif" w:eastAsia="Times New Roman" w:cs="Times New Roman"/>
          <w:color w:val="000000"/>
          <w:sz w:val="28"/>
          <w:szCs w:val="28"/>
          <w:lang w:eastAsia="ru-RU"/>
        </w:rPr>
        <w:t xml:space="preserve">тыс. рублей, в том числе                    по годам:</w:t>
      </w:r>
      <w:r>
        <w:rPr>
          <w:rFonts w:ascii="PT Astra Serif" w:hAnsi="PT Astra Serif" w:eastAsia="Times New Roman" w:cs="Times New Roman"/>
          <w:color w:val="000000"/>
          <w:sz w:val="28"/>
          <w:szCs w:val="28"/>
          <w:lang w:eastAsia="ru-RU"/>
        </w:rPr>
      </w:r>
      <w:r>
        <w:rPr>
          <w:rFonts w:ascii="PT Astra Serif" w:hAnsi="PT Astra Serif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PT Astra Serif" w:hAnsi="PT Astra Serif" w:eastAsia="Times New Roman" w:cs="Times New Roman"/>
          <w:color w:val="000000"/>
          <w:sz w:val="28"/>
          <w:szCs w:val="28"/>
          <w:lang w:eastAsia="ru-RU"/>
        </w:rPr>
        <w:t xml:space="preserve">2020 год – 78 823,4 тыс. рублей;</w:t>
      </w:r>
      <w:r>
        <w:rPr>
          <w:rFonts w:ascii="PT Astra Serif" w:hAnsi="PT Astra Serif" w:eastAsia="Times New Roman" w:cs="Times New Roman"/>
          <w:color w:val="000000"/>
          <w:sz w:val="28"/>
          <w:szCs w:val="28"/>
          <w:lang w:eastAsia="ru-RU"/>
        </w:rPr>
      </w:r>
      <w:r>
        <w:rPr>
          <w:rFonts w:ascii="PT Astra Serif" w:hAnsi="PT Astra Serif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PT Astra Serif" w:hAnsi="PT Astra Serif" w:eastAsia="Times New Roman" w:cs="Times New Roman"/>
          <w:color w:val="000000"/>
          <w:sz w:val="28"/>
          <w:szCs w:val="28"/>
          <w:lang w:eastAsia="ru-RU"/>
        </w:rPr>
        <w:t xml:space="preserve">2021 год – 89 333,4 тыс. рублей;</w:t>
      </w:r>
      <w:r>
        <w:rPr>
          <w:rFonts w:ascii="PT Astra Serif" w:hAnsi="PT Astra Serif" w:eastAsia="Times New Roman" w:cs="Times New Roman"/>
          <w:color w:val="000000"/>
          <w:sz w:val="28"/>
          <w:szCs w:val="28"/>
          <w:lang w:eastAsia="ru-RU"/>
        </w:rPr>
      </w:r>
      <w:r>
        <w:rPr>
          <w:rFonts w:ascii="PT Astra Serif" w:hAnsi="PT Astra Serif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PT Astra Serif" w:hAnsi="PT Astra Serif" w:eastAsia="Times New Roman" w:cs="Times New Roman"/>
          <w:color w:val="000000"/>
          <w:sz w:val="28"/>
          <w:szCs w:val="28"/>
          <w:lang w:eastAsia="ru-RU"/>
        </w:rPr>
        <w:t xml:space="preserve">2022 год – 98 813,8 тыс. рублей;</w:t>
      </w:r>
      <w:r>
        <w:rPr>
          <w:rFonts w:ascii="PT Astra Serif" w:hAnsi="PT Astra Serif" w:eastAsia="Times New Roman" w:cs="Times New Roman"/>
          <w:color w:val="000000"/>
          <w:sz w:val="28"/>
          <w:szCs w:val="28"/>
          <w:lang w:eastAsia="ru-RU"/>
        </w:rPr>
      </w:r>
      <w:r>
        <w:rPr>
          <w:rFonts w:ascii="PT Astra Serif" w:hAnsi="PT Astra Serif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PT Astra Serif" w:hAnsi="PT Astra Serif" w:eastAsia="Times New Roman" w:cs="Times New Roman"/>
          <w:color w:val="000000"/>
          <w:sz w:val="28"/>
          <w:szCs w:val="28"/>
          <w:lang w:eastAsia="ru-RU"/>
        </w:rPr>
        <w:t xml:space="preserve">2023 год – 187 856,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0</w:t>
      </w:r>
      <w:r>
        <w:rPr>
          <w:rFonts w:ascii="PT Astra Serif" w:hAnsi="PT Astra Serif" w:eastAsia="Times New Roman" w:cs="Times New Roman"/>
          <w:color w:val="000000"/>
          <w:sz w:val="28"/>
          <w:szCs w:val="28"/>
          <w:lang w:eastAsia="ru-RU"/>
        </w:rPr>
        <w:t xml:space="preserve"> тыс. рублей;</w:t>
      </w:r>
      <w:r>
        <w:rPr>
          <w:rFonts w:ascii="PT Astra Serif" w:hAnsi="PT Astra Serif" w:eastAsia="Times New Roman" w:cs="Times New Roman"/>
          <w:color w:val="000000"/>
          <w:sz w:val="28"/>
          <w:szCs w:val="28"/>
          <w:lang w:eastAsia="ru-RU"/>
        </w:rPr>
      </w:r>
      <w:r>
        <w:rPr>
          <w:rFonts w:ascii="PT Astra Serif" w:hAnsi="PT Astra Serif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PT Astra Serif" w:hAnsi="PT Astra Serif" w:eastAsia="Times New Roman" w:cs="Times New Roman"/>
          <w:color w:val="000000"/>
          <w:sz w:val="28"/>
          <w:szCs w:val="28"/>
          <w:lang w:eastAsia="ru-RU"/>
        </w:rPr>
        <w:t xml:space="preserve">2024 год – 148 648,9 т</w:t>
      </w:r>
      <w:r>
        <w:rPr>
          <w:rFonts w:ascii="PT Astra Serif" w:hAnsi="PT Astra Serif" w:eastAsia="Times New Roman" w:cs="Times New Roman"/>
          <w:color w:val="000000"/>
          <w:sz w:val="28"/>
          <w:szCs w:val="28"/>
          <w:lang w:eastAsia="ru-RU"/>
        </w:rPr>
        <w:t xml:space="preserve">ыс. рублей;</w:t>
      </w:r>
      <w:r>
        <w:rPr>
          <w:rFonts w:ascii="PT Astra Serif" w:hAnsi="PT Astra Serif" w:eastAsia="Times New Roman" w:cs="Times New Roman"/>
          <w:color w:val="000000"/>
          <w:sz w:val="28"/>
          <w:szCs w:val="28"/>
          <w:lang w:eastAsia="ru-RU"/>
        </w:rPr>
      </w:r>
      <w:r>
        <w:rPr>
          <w:rFonts w:ascii="PT Astra Serif" w:hAnsi="PT Astra Serif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PT Astra Serif" w:hAnsi="PT Astra Serif" w:eastAsia="Times New Roman" w:cs="Times New Roman"/>
          <w:color w:val="000000"/>
          <w:sz w:val="28"/>
          <w:szCs w:val="28"/>
          <w:lang w:eastAsia="ru-RU"/>
        </w:rPr>
        <w:t xml:space="preserve">2025 год – </w:t>
      </w:r>
      <w:r>
        <w:rPr>
          <w:rFonts w:ascii="PT Astra Serif" w:hAnsi="PT Astra Serif" w:eastAsia="Times New Roman" w:cs="Times New Roman"/>
          <w:color w:val="000000"/>
          <w:sz w:val="28"/>
          <w:szCs w:val="28"/>
          <w:lang w:eastAsia="ru-RU"/>
        </w:rPr>
        <w:t xml:space="preserve">260 734,25174 </w:t>
      </w:r>
      <w:r>
        <w:rPr>
          <w:rFonts w:ascii="PT Astra Serif" w:hAnsi="PT Astra Serif" w:eastAsia="Times New Roman" w:cs="Times New Roman"/>
          <w:color w:val="000000"/>
          <w:sz w:val="28"/>
          <w:szCs w:val="28"/>
          <w:lang w:eastAsia="ru-RU"/>
        </w:rPr>
        <w:t xml:space="preserve">тыс. рублей;</w:t>
      </w:r>
      <w:r>
        <w:rPr>
          <w:rFonts w:ascii="PT Astra Serif" w:hAnsi="PT Astra Serif" w:eastAsia="Times New Roman" w:cs="Times New Roman"/>
          <w:color w:val="000000"/>
          <w:sz w:val="28"/>
          <w:szCs w:val="28"/>
          <w:lang w:eastAsia="ru-RU"/>
        </w:rPr>
      </w:r>
      <w:r>
        <w:rPr>
          <w:rFonts w:ascii="PT Astra Serif" w:hAnsi="PT Astra Serif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PT Astra Serif" w:hAnsi="PT Astra Serif" w:eastAsia="Times New Roman" w:cs="Times New Roman"/>
          <w:color w:val="000000"/>
          <w:sz w:val="28"/>
          <w:szCs w:val="28"/>
          <w:lang w:eastAsia="ru-RU"/>
        </w:rPr>
        <w:t xml:space="preserve">2026 год – </w:t>
      </w:r>
      <w:r>
        <w:rPr>
          <w:rFonts w:ascii="PT Astra Serif" w:hAnsi="PT Astra Serif" w:eastAsia="Times New Roman" w:cs="Times New Roman"/>
          <w:color w:val="000000"/>
          <w:sz w:val="28"/>
          <w:szCs w:val="28"/>
          <w:lang w:eastAsia="ru-RU"/>
        </w:rPr>
        <w:t xml:space="preserve">275 852,60000 </w:t>
      </w:r>
      <w:r>
        <w:rPr>
          <w:rFonts w:ascii="PT Astra Serif" w:hAnsi="PT Astra Serif" w:eastAsia="Times New Roman" w:cs="Times New Roman"/>
          <w:color w:val="000000"/>
          <w:sz w:val="28"/>
          <w:szCs w:val="28"/>
          <w:lang w:eastAsia="ru-RU"/>
        </w:rPr>
        <w:t xml:space="preserve">тыс. рублей;</w:t>
      </w:r>
      <w:r>
        <w:rPr>
          <w:rFonts w:ascii="PT Astra Serif" w:hAnsi="PT Astra Serif" w:eastAsia="Times New Roman" w:cs="Times New Roman"/>
          <w:color w:val="000000"/>
          <w:sz w:val="28"/>
          <w:szCs w:val="28"/>
          <w:lang w:eastAsia="ru-RU"/>
        </w:rPr>
      </w:r>
      <w:r>
        <w:rPr>
          <w:rFonts w:ascii="PT Astra Serif" w:hAnsi="PT Astra Serif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PT Astra Serif" w:hAnsi="PT Astra Serif" w:eastAsia="Times New Roman" w:cs="Times New Roman"/>
          <w:color w:val="000000"/>
          <w:sz w:val="28"/>
          <w:szCs w:val="28"/>
          <w:lang w:eastAsia="ru-RU"/>
        </w:rPr>
        <w:t xml:space="preserve">2027 год – </w:t>
      </w:r>
      <w:r>
        <w:rPr>
          <w:rFonts w:ascii="PT Astra Serif" w:hAnsi="PT Astra Serif" w:eastAsia="Times New Roman" w:cs="Times New Roman"/>
          <w:color w:val="000000"/>
          <w:sz w:val="28"/>
          <w:szCs w:val="28"/>
          <w:lang w:eastAsia="ru-RU"/>
        </w:rPr>
        <w:t xml:space="preserve">211 671,50000 </w:t>
      </w:r>
      <w:r>
        <w:rPr>
          <w:rFonts w:ascii="PT Astra Serif" w:hAnsi="PT Astra Serif" w:eastAsia="Times New Roman" w:cs="Times New Roman"/>
          <w:color w:val="000000"/>
          <w:sz w:val="28"/>
          <w:szCs w:val="28"/>
          <w:lang w:eastAsia="ru-RU"/>
        </w:rPr>
        <w:t xml:space="preserve">тыс. </w:t>
      </w:r>
      <w:r>
        <w:rPr>
          <w:rFonts w:ascii="PT Astra Serif" w:hAnsi="PT Astra Serif" w:eastAsia="Times New Roman" w:cs="Times New Roman"/>
          <w:color w:val="000000"/>
          <w:sz w:val="28"/>
          <w:szCs w:val="28"/>
          <w:lang w:eastAsia="ru-RU"/>
        </w:rPr>
        <w:t xml:space="preserve">рублей;</w:t>
      </w:r>
      <w:r>
        <w:rPr>
          <w:rFonts w:ascii="PT Astra Serif" w:hAnsi="PT Astra Serif" w:eastAsia="Times New Roman" w:cs="Times New Roman"/>
          <w:color w:val="000000"/>
          <w:sz w:val="28"/>
          <w:szCs w:val="28"/>
          <w:lang w:eastAsia="ru-RU"/>
        </w:rPr>
      </w:r>
      <w:r>
        <w:rPr>
          <w:rFonts w:ascii="PT Astra Serif" w:hAnsi="PT Astra Serif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PT Astra Serif" w:hAnsi="PT Astra Serif" w:eastAsia="Times New Roman" w:cs="Times New Roman"/>
          <w:color w:val="000000"/>
          <w:sz w:val="28"/>
          <w:szCs w:val="28"/>
          <w:lang w:eastAsia="ru-RU"/>
        </w:rPr>
        <w:t xml:space="preserve">2028 год – </w:t>
      </w:r>
      <w:r>
        <w:rPr>
          <w:rFonts w:ascii="PT Astra Serif" w:hAnsi="PT Astra Serif" w:eastAsia="Times New Roman" w:cs="Times New Roman"/>
          <w:color w:val="000000"/>
          <w:sz w:val="28"/>
          <w:szCs w:val="28"/>
          <w:lang w:eastAsia="ru-RU"/>
        </w:rPr>
        <w:t xml:space="preserve">211 767,90000 т</w:t>
      </w:r>
      <w:r>
        <w:rPr>
          <w:rFonts w:ascii="PT Astra Serif" w:hAnsi="PT Astra Serif" w:eastAsia="Times New Roman" w:cs="Times New Roman"/>
          <w:color w:val="000000"/>
          <w:sz w:val="28"/>
          <w:szCs w:val="28"/>
          <w:lang w:eastAsia="ru-RU"/>
        </w:rPr>
        <w:t xml:space="preserve">ыс. </w:t>
      </w:r>
      <w:r>
        <w:rPr>
          <w:rFonts w:ascii="PT Astra Serif" w:hAnsi="PT Astra Serif" w:eastAsia="Times New Roman" w:cs="Times New Roman"/>
          <w:color w:val="000000"/>
          <w:sz w:val="28"/>
          <w:szCs w:val="28"/>
          <w:lang w:eastAsia="ru-RU"/>
        </w:rPr>
        <w:t xml:space="preserve">рублей,</w:t>
      </w:r>
      <w:r>
        <w:rPr>
          <w:rFonts w:ascii="PT Astra Serif" w:hAnsi="PT Astra Serif" w:eastAsia="Times New Roman" w:cs="Times New Roman"/>
          <w:color w:val="000000"/>
          <w:sz w:val="28"/>
          <w:szCs w:val="28"/>
          <w:lang w:eastAsia="ru-RU"/>
        </w:rPr>
      </w:r>
      <w:r>
        <w:rPr>
          <w:rFonts w:ascii="PT Astra Serif" w:hAnsi="PT Astra Serif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в том числе за счет средств краевого бюджета – 8 617,00000 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br/>
        <w:t xml:space="preserve">тыс. рублей: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2020 год – 0,0 тыс. рублей;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2021 год – 0,0 тыс. рублей;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2022 год – 0,0 тыс. рублей;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2023 год – 8 617,0 тыс. рублей;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2024 год – 0,0 тыс. рублей;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2025 год – 0,00000 тыс. рублей;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2026 год – 0,00000 тыс. 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рублей;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2027 год – 0,00000 тыс. 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рублей;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2028 год – 0,00000 тыс. 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рублей,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в том числе за счет средств бюджета города Барнаула – 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br/>
        <w:t xml:space="preserve">1 375 191,35174 тыс. рублей: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2020 год – 60 823,4 тыс. рублей;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2021 год – 71 333,4 тыс. рублей;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2022 год – 80 813,8 тыс. рублей;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2023 год – 159 676,0 тыс. рублей;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2024 год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 – 128 641,5 тыс. рублей;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2025 год – 239 174,25174 тыс. рублей;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2026 год – 254 331,60000 тыс. рублей;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2027 год – 190 150,50000 тыс. 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рублей;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2028 год – 190 246,90000 тыс. 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рублей,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в том числе за счет внебюджетных источников –                                   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      179 693,40000 тыс. рублей: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2020 год – 18 000,0 тыс. рублей;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2021 год – 18 000,0 тыс. рублей;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2022 год – 18 000,0 тыс. рублей;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2023 год – 19 563,0 тыс. рублей;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2024 год – 20 007,4 тыс. рублей;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2025 год – 21 560,00000 тыс. рублей;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2026 год – 21 521,000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00 тыс. рублей;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2027 год – 21 521,00000 тыс. 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рублей;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2028 год – 21 521,00000 тыс. 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рублей. 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Реализация мероприятий в рамках Программы в части финансирования из средств бюджета города Барнаула является расходным обязательством городского округа – города Барнаула Алтайского края.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Объемы финансирования подлежат ежегодному уточнению 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br/>
        <w:t xml:space="preserve">в соответствии с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 решением Барнаульской городской Думы о бюджете города Барнаула на очередной финансовый год и на плановый период.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Объемы налоговых расходов города Барнаула в рамках </w:t>
      </w:r>
      <w:r>
        <w:rPr>
          <w:rFonts w:ascii="PT Astra Serif" w:hAnsi="PT Astra Serif"/>
          <w:sz w:val="28"/>
          <w:szCs w:val="28"/>
        </w:rPr>
        <w:br/>
        <w:t xml:space="preserve">Программы – 131,00000 тыс. рублей, в том числе по годам:</w:t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2020 год – 39,0 тыс. рублей;</w:t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2021</w:t>
      </w:r>
      <w:r>
        <w:rPr>
          <w:rFonts w:ascii="PT Astra Serif" w:hAnsi="PT Astra Serif"/>
          <w:sz w:val="28"/>
          <w:szCs w:val="28"/>
        </w:rPr>
        <w:t xml:space="preserve"> год – 30,7 тыс. рублей;</w:t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2022 год – 30,2 тыс. рублей;</w:t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2023 год – 21,6 тыс. рублей;</w:t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2024 год – 1,9 тыс. рублей;</w:t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2025 год – 1,90000 тыс. рублей;</w:t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2026 год – 1,90000 тыс. </w:t>
      </w:r>
      <w:r>
        <w:rPr>
          <w:rFonts w:ascii="PT Astra Serif" w:hAnsi="PT Astra Serif"/>
          <w:sz w:val="28"/>
          <w:szCs w:val="28"/>
        </w:rPr>
        <w:t xml:space="preserve">рублей;</w:t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2027 год – 1,90000 тыс. </w:t>
      </w:r>
      <w:r>
        <w:rPr>
          <w:rFonts w:ascii="PT Astra Serif" w:hAnsi="PT Astra Serif"/>
          <w:sz w:val="28"/>
          <w:szCs w:val="28"/>
        </w:rPr>
        <w:t xml:space="preserve">рублей;</w:t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2028 год – 1,90000 тыс. </w:t>
      </w:r>
      <w:r>
        <w:rPr>
          <w:rFonts w:ascii="PT Astra Serif" w:hAnsi="PT Astra Serif"/>
          <w:sz w:val="28"/>
          <w:szCs w:val="28"/>
        </w:rPr>
        <w:t xml:space="preserve">рублей.</w:t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За 2020-2024 годы об</w:t>
      </w:r>
      <w:r>
        <w:rPr>
          <w:rFonts w:ascii="PT Astra Serif" w:hAnsi="PT Astra Serif"/>
          <w:sz w:val="28"/>
          <w:szCs w:val="28"/>
        </w:rPr>
        <w:t xml:space="preserve">ъем налоговых расходов города Барнаула указан в соответствии с фискальными характеристиками налоговых расходов города Барнаула, предоставленных УФНС России по Алтайскому краю.»;</w:t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1.4. В приложении 2 к муниципальной программе «Совершенствование муниципальног</w:t>
      </w:r>
      <w:r>
        <w:rPr>
          <w:rFonts w:ascii="PT Astra Serif" w:hAnsi="PT Astra Serif"/>
          <w:sz w:val="28"/>
          <w:szCs w:val="28"/>
        </w:rPr>
        <w:t xml:space="preserve">о управления и реализация национальной политики в городе Барнауле»:</w:t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1.4.1. Раздел «ПАСПОРТ подпрограммы «Совершенствование кадрового обеспечения муниципального управления в городе Барнауле» изложить в новой редакции (приложение 2);</w:t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1.4.2.</w:t>
      </w:r>
      <w:r>
        <w:rPr>
          <w:rFonts w:ascii="PT Astra Serif" w:hAnsi="PT Astra Serif"/>
          <w:sz w:val="28"/>
          <w:szCs w:val="28"/>
        </w:rPr>
        <w:t xml:space="preserve"> В разделе 1 «Общая характеристика сферы реализации Подпрограммы»: </w:t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  <w:shd w:val="clear" w:color="auto" w:fill="ffffff"/>
        </w:rPr>
        <w:t xml:space="preserve">1.4.2.1. Абзац 13 считать абзацем 14 соответственно;</w:t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  <w:shd w:val="clear" w:color="auto" w:fill="ffffff"/>
        </w:rPr>
        <w:t xml:space="preserve">1.4.2.2. Дополнить абзацем 13 следующего содержания:</w:t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  <w:shd w:val="clear" w:color="auto" w:fill="ffffff"/>
        </w:rPr>
        <w:t xml:space="preserve">«</w:t>
      </w:r>
      <w:r>
        <w:rPr>
          <w:rFonts w:ascii="PT Astra Serif" w:hAnsi="PT Astra Serif" w:cs="Times New Roman"/>
          <w:sz w:val="28"/>
          <w:szCs w:val="28"/>
        </w:rPr>
        <w:t xml:space="preserve">В рамках реализации Плана мероприятий по противодействию коррупции в администраци</w:t>
      </w:r>
      <w:r>
        <w:rPr>
          <w:rFonts w:ascii="PT Astra Serif" w:hAnsi="PT Astra Serif" w:cs="Times New Roman"/>
          <w:sz w:val="28"/>
          <w:szCs w:val="28"/>
        </w:rPr>
        <w:t xml:space="preserve">и города, иных органах местного самоуправления города </w:t>
      </w:r>
      <w:r>
        <w:rPr>
          <w:rFonts w:ascii="PT Astra Serif" w:hAnsi="PT Astra Serif" w:cs="PT Astra Serif"/>
          <w:sz w:val="28"/>
          <w:szCs w:val="28"/>
        </w:rPr>
        <w:t xml:space="preserve">проводятся проверки </w:t>
      </w:r>
      <w:r>
        <w:rPr>
          <w:rFonts w:ascii="PT Astra Serif" w:hAnsi="PT Astra Serif" w:cs="Times New Roman"/>
          <w:sz w:val="28"/>
          <w:szCs w:val="28"/>
        </w:rPr>
        <w:t xml:space="preserve">соблюдения муниципальными служащими и гражданами, претендующими на замещение должностей муниципальной службы, обязанностей, ограничений и запретов, связанных с муниципальной службой.</w:t>
      </w:r>
      <w:r>
        <w:rPr>
          <w:rFonts w:ascii="PT Astra Serif" w:hAnsi="PT Astra Serif" w:cs="Times New Roman"/>
          <w:sz w:val="28"/>
          <w:szCs w:val="28"/>
        </w:rPr>
        <w:t xml:space="preserve"> Планируется обеспечить проведение проверок не менее чем в четырех </w:t>
      </w:r>
      <w:r>
        <w:rPr>
          <w:rFonts w:ascii="PT Astra Serif" w:hAnsi="PT Astra Serif" w:cs="Times New Roman"/>
          <w:sz w:val="28"/>
          <w:szCs w:val="28"/>
        </w:rPr>
        <w:t xml:space="preserve">органах местного самоуправления ежегодно.</w:t>
      </w:r>
      <w:r>
        <w:rPr>
          <w:rFonts w:ascii="PT Astra Serif" w:hAnsi="PT Astra Serif"/>
          <w:sz w:val="28"/>
          <w:szCs w:val="28"/>
          <w:shd w:val="clear" w:color="auto" w:fill="ffffff"/>
        </w:rPr>
        <w:t xml:space="preserve">»;</w:t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1.4.3. В разделе 2 «Приоритеты муниципальной политики в сфере реализации Подпрограммы, цель и задачи, описание основных ожидаемых конечных резул</w:t>
      </w:r>
      <w:r>
        <w:rPr>
          <w:rFonts w:ascii="PT Astra Serif" w:hAnsi="PT Astra Serif"/>
          <w:sz w:val="28"/>
          <w:szCs w:val="28"/>
        </w:rPr>
        <w:t xml:space="preserve">ьтатов Подпрограммы, сроков и этапов ее реализации»:</w:t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 w:eastAsia="Calibri"/>
          <w:sz w:val="28"/>
          <w:szCs w:val="28"/>
        </w:rPr>
      </w:pPr>
      <w:r>
        <w:rPr>
          <w:rFonts w:ascii="PT Astra Serif" w:hAnsi="PT Astra Serif" w:eastAsia="Calibri"/>
          <w:sz w:val="28"/>
          <w:szCs w:val="28"/>
        </w:rPr>
        <w:t xml:space="preserve">1.4.3.1. </w:t>
      </w:r>
      <w:r>
        <w:rPr>
          <w:rFonts w:ascii="PT Astra Serif" w:hAnsi="PT Astra Serif"/>
          <w:sz w:val="28"/>
          <w:szCs w:val="28"/>
        </w:rPr>
        <w:t xml:space="preserve">Подразделы 2.3, 2.4 изложить в следующей редакции:</w:t>
      </w:r>
      <w:r>
        <w:rPr>
          <w:rFonts w:ascii="PT Astra Serif" w:hAnsi="PT Astra Serif" w:eastAsia="Calibri"/>
          <w:sz w:val="28"/>
          <w:szCs w:val="28"/>
        </w:rPr>
      </w:r>
      <w:r>
        <w:rPr>
          <w:rFonts w:ascii="PT Astra Serif" w:hAnsi="PT Astra Serif" w:eastAsia="Calibri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 w:eastAsia="Calibri"/>
          <w:sz w:val="28"/>
          <w:szCs w:val="28"/>
        </w:rPr>
      </w:pPr>
      <w:r>
        <w:rPr>
          <w:rFonts w:ascii="PT Astra Serif" w:hAnsi="PT Astra Serif" w:eastAsia="Calibri"/>
          <w:sz w:val="28"/>
          <w:szCs w:val="28"/>
        </w:rPr>
        <w:t xml:space="preserve">В ходе реализации Программы планируется достижение следующих конечных результатов:</w:t>
      </w:r>
      <w:r>
        <w:rPr>
          <w:rFonts w:ascii="PT Astra Serif" w:hAnsi="PT Astra Serif" w:eastAsia="Calibri"/>
          <w:sz w:val="28"/>
          <w:szCs w:val="28"/>
        </w:rPr>
      </w:r>
      <w:r>
        <w:rPr>
          <w:rFonts w:ascii="PT Astra Serif" w:hAnsi="PT Astra Serif" w:eastAsia="Calibri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 w:eastAsia="Calibri"/>
          <w:sz w:val="28"/>
          <w:szCs w:val="28"/>
        </w:rPr>
      </w:pPr>
      <w:r>
        <w:rPr>
          <w:rFonts w:ascii="PT Astra Serif" w:hAnsi="PT Astra Serif" w:eastAsia="Calibri"/>
          <w:sz w:val="28"/>
          <w:szCs w:val="28"/>
        </w:rPr>
        <w:t xml:space="preserve">увеличение доли высших, главных и ведущих должностей муницип</w:t>
      </w:r>
      <w:r>
        <w:rPr>
          <w:rFonts w:ascii="PT Astra Serif" w:hAnsi="PT Astra Serif" w:eastAsia="Calibri"/>
          <w:sz w:val="28"/>
          <w:szCs w:val="28"/>
        </w:rPr>
        <w:t xml:space="preserve">альной службы, на которые сформирован кадровый резерв, от общего количества высших, главных и ведущих должностей муниципальной службы, до 89,0%;</w:t>
      </w:r>
      <w:r>
        <w:rPr>
          <w:rFonts w:ascii="PT Astra Serif" w:hAnsi="PT Astra Serif" w:eastAsia="Calibri"/>
          <w:sz w:val="28"/>
          <w:szCs w:val="28"/>
        </w:rPr>
      </w:r>
      <w:r>
        <w:rPr>
          <w:rFonts w:ascii="PT Astra Serif" w:hAnsi="PT Astra Serif" w:eastAsia="Calibri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 w:eastAsia="Calibri"/>
          <w:sz w:val="28"/>
          <w:szCs w:val="28"/>
        </w:rPr>
      </w:pPr>
      <w:r>
        <w:rPr>
          <w:rFonts w:ascii="PT Astra Serif" w:hAnsi="PT Astra Serif" w:eastAsia="Calibri"/>
          <w:sz w:val="28"/>
          <w:szCs w:val="28"/>
        </w:rPr>
        <w:t xml:space="preserve">обеспечение ежегодного прохождения диспансеризации не менее 85,0% муниципальных служащих, от общего количества </w:t>
      </w:r>
      <w:r>
        <w:rPr>
          <w:rFonts w:ascii="PT Astra Serif" w:hAnsi="PT Astra Serif" w:eastAsia="Calibri"/>
          <w:sz w:val="28"/>
          <w:szCs w:val="28"/>
        </w:rPr>
        <w:t xml:space="preserve">должностей муниципальной службы;</w:t>
      </w:r>
      <w:r>
        <w:rPr>
          <w:rFonts w:ascii="PT Astra Serif" w:hAnsi="PT Astra Serif" w:eastAsia="Calibri"/>
          <w:sz w:val="28"/>
          <w:szCs w:val="28"/>
        </w:rPr>
      </w:r>
      <w:r>
        <w:rPr>
          <w:rFonts w:ascii="PT Astra Serif" w:hAnsi="PT Astra Serif" w:eastAsia="Calibri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 w:eastAsia="Calibri"/>
          <w:sz w:val="28"/>
          <w:szCs w:val="28"/>
        </w:rPr>
      </w:pPr>
      <w:r>
        <w:rPr>
          <w:rFonts w:ascii="PT Astra Serif" w:hAnsi="PT Astra Serif" w:eastAsia="Calibri"/>
          <w:sz w:val="28"/>
          <w:szCs w:val="28"/>
        </w:rPr>
        <w:t xml:space="preserve">обеспечение проведения плановых проверок соблюдения муниципальными служащими и гражданами, претендующими на замещение должностей муниципальной службы, обязанностей, ограничений и запретов, связанных с муниципальной службой,</w:t>
      </w:r>
      <w:r>
        <w:rPr>
          <w:rFonts w:ascii="PT Astra Serif" w:hAnsi="PT Astra Serif" w:eastAsia="Calibri"/>
          <w:sz w:val="28"/>
          <w:szCs w:val="28"/>
        </w:rPr>
        <w:t xml:space="preserve"> не менее чем в 4 органах местного самоуправления ежегодно.</w:t>
      </w:r>
      <w:r>
        <w:rPr>
          <w:rFonts w:ascii="PT Astra Serif" w:hAnsi="PT Astra Serif" w:eastAsia="Calibri"/>
          <w:sz w:val="28"/>
          <w:szCs w:val="28"/>
        </w:rPr>
      </w:r>
      <w:r>
        <w:rPr>
          <w:rFonts w:ascii="PT Astra Serif" w:hAnsi="PT Astra Serif" w:eastAsia="Calibri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 w:eastAsia="Calibri"/>
          <w:sz w:val="28"/>
          <w:szCs w:val="28"/>
          <w:highlight w:val="yellow"/>
        </w:rPr>
      </w:pPr>
      <w:r>
        <w:rPr>
          <w:rFonts w:ascii="PT Astra Serif" w:hAnsi="PT Astra Serif" w:eastAsia="Calibri"/>
          <w:sz w:val="28"/>
          <w:szCs w:val="28"/>
        </w:rPr>
        <w:t xml:space="preserve">Сведения об индикаторах Программы представлены в приложении </w:t>
      </w:r>
      <w:r>
        <w:rPr>
          <w:rFonts w:ascii="PT Astra Serif" w:hAnsi="PT Astra Serif" w:eastAsia="Calibri"/>
          <w:sz w:val="28"/>
          <w:szCs w:val="28"/>
        </w:rPr>
        <w:br/>
      </w:r>
      <w:r>
        <w:rPr>
          <w:rFonts w:ascii="PT Astra Serif" w:hAnsi="PT Astra Serif" w:eastAsia="Calibri"/>
          <w:sz w:val="28"/>
          <w:szCs w:val="28"/>
        </w:rPr>
        <w:t xml:space="preserve">5 к Программе.</w:t>
      </w:r>
      <w:r>
        <w:rPr>
          <w:rFonts w:ascii="PT Astra Serif" w:hAnsi="PT Astra Serif" w:eastAsia="Calibri"/>
          <w:sz w:val="28"/>
          <w:szCs w:val="28"/>
          <w:highlight w:val="yellow"/>
        </w:rPr>
      </w:r>
      <w:r>
        <w:rPr>
          <w:rFonts w:ascii="PT Astra Serif" w:hAnsi="PT Astra Serif" w:eastAsia="Calibri"/>
          <w:sz w:val="28"/>
          <w:szCs w:val="28"/>
          <w:highlight w:val="yellow"/>
        </w:rPr>
      </w:r>
    </w:p>
    <w:p>
      <w:pPr>
        <w:ind w:firstLine="709"/>
        <w:jc w:val="center"/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«2.4. Сроки и этапы реализации Подпрограммы</w:t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Подпрограмма реализуется в течение 2020-2028 годов без деления на этапы.»;</w:t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1.4.4.  Раздел 4 изложить в следующей редакции:</w:t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jc w:val="center"/>
        <w:spacing w:after="0" w:line="240" w:lineRule="auto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«4. Общий объем финансовых ресурсов, необходимых</w:t>
      </w:r>
      <w:r>
        <w:rPr>
          <w:rFonts w:ascii="PT Astra Serif" w:hAnsi="PT Astra Serif"/>
          <w:bCs/>
          <w:sz w:val="28"/>
          <w:szCs w:val="28"/>
        </w:rPr>
      </w:r>
      <w:r>
        <w:rPr>
          <w:rFonts w:ascii="PT Astra Serif" w:hAnsi="PT Astra Serif"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для реализации Подпрограммы</w:t>
      </w:r>
      <w:r>
        <w:rPr>
          <w:rFonts w:ascii="PT Astra Serif" w:hAnsi="PT Astra Serif"/>
          <w:bCs/>
          <w:sz w:val="28"/>
          <w:szCs w:val="28"/>
        </w:rPr>
      </w:r>
      <w:r>
        <w:rPr>
          <w:rFonts w:ascii="PT Astra Serif" w:hAnsi="PT Astra Serif"/>
          <w:bCs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Объем финансирования Подпрограммы за счет всех источников в 2020</w:t>
      </w:r>
      <w:r>
        <w:rPr>
          <w:rFonts w:ascii="PT Astra Serif" w:hAnsi="PT Astra Serif" w:eastAsia="Calibri"/>
          <w:sz w:val="28"/>
          <w:szCs w:val="28"/>
        </w:rPr>
        <w:t xml:space="preserve"> – </w:t>
      </w:r>
      <w:r>
        <w:rPr>
          <w:rFonts w:ascii="PT Astra Serif" w:hAnsi="PT Astra Serif"/>
          <w:sz w:val="28"/>
          <w:szCs w:val="28"/>
        </w:rPr>
        <w:t xml:space="preserve">2028 годах составляет </w:t>
      </w:r>
      <w:r>
        <w:rPr>
          <w:rFonts w:ascii="PT Astra Serif" w:hAnsi="PT Astra Serif"/>
          <w:sz w:val="28"/>
          <w:szCs w:val="28"/>
          <w:highlight w:val="white"/>
        </w:rPr>
        <w:t xml:space="preserve">116 158,71314</w:t>
      </w:r>
      <w:r>
        <w:rPr>
          <w:rFonts w:ascii="PT Astra Serif" w:hAnsi="PT Astra Serif"/>
          <w:sz w:val="28"/>
          <w:szCs w:val="28"/>
        </w:rPr>
        <w:t xml:space="preserve"> тыс. рублей, в том числе за счет средств бюджета города Барнаула:</w:t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2020 год – 8 377,8 тыс. рублей;</w:t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2021 год – 8 915,1 тыс. рублей;</w:t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2022 год – 8 817,2 тыс. рублей;</w:t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2023 год – 9 394,1 тыс. рублей;</w:t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2024 год – 10 131,8 тыс. рублей;</w:t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2025 год – 11 865,81314 тыс.</w:t>
      </w:r>
      <w:r>
        <w:rPr>
          <w:rFonts w:ascii="PT Astra Serif" w:hAnsi="PT Astra Serif"/>
          <w:sz w:val="28"/>
          <w:szCs w:val="28"/>
        </w:rPr>
        <w:t xml:space="preserve"> рублей;</w:t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2026 год – 19 379,70000 тыс. рублей;</w:t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2027 год – 19 508,60000 тыс. рублей;</w:t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2028 год – 19 768,60000 тыс. </w:t>
      </w:r>
      <w:r>
        <w:rPr>
          <w:rFonts w:ascii="PT Astra Serif" w:hAnsi="PT Astra Serif"/>
          <w:sz w:val="28"/>
          <w:szCs w:val="28"/>
        </w:rPr>
        <w:t xml:space="preserve">рублей.</w:t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Реализация мероприятий в рамках Подпрограммы в части финансирования из средств бюджета города Барнаула является </w:t>
      </w:r>
      <w:r>
        <w:rPr>
          <w:rFonts w:ascii="PT Astra Serif" w:hAnsi="PT Astra Serif"/>
          <w:sz w:val="28"/>
          <w:szCs w:val="28"/>
        </w:rPr>
        <w:br/>
        <w:t xml:space="preserve">расходным обязательством</w:t>
      </w:r>
      <w:r>
        <w:rPr>
          <w:rFonts w:ascii="PT Astra Serif" w:hAnsi="PT Astra Serif"/>
          <w:sz w:val="28"/>
          <w:szCs w:val="28"/>
        </w:rPr>
        <w:t xml:space="preserve"> городского округа – города Барнаула Алтайского края.</w:t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Объемы финансирования подлежат ежегодному уточнению </w:t>
      </w:r>
      <w:r>
        <w:rPr>
          <w:rFonts w:ascii="PT Astra Serif" w:hAnsi="PT Astra Serif"/>
          <w:sz w:val="28"/>
          <w:szCs w:val="28"/>
        </w:rPr>
        <w:br/>
        <w:t xml:space="preserve">в соответствии с решением Барнаульской городской Думы о бюджете города Барнаула на очередной финансовый год и на плановый период.»;</w:t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1.5. В приложении</w:t>
      </w:r>
      <w:r>
        <w:rPr>
          <w:rFonts w:ascii="PT Astra Serif" w:hAnsi="PT Astra Serif"/>
          <w:sz w:val="28"/>
          <w:szCs w:val="28"/>
        </w:rPr>
        <w:t xml:space="preserve"> 3 к муниципальной программе «Совершенствование муниципального управления и реализация национальной политики в городе Барнауле»:</w:t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1.5.1. Раздел «ПАСПОРТ подпрограммы «Совершенствование взаимодействия с некоммерческим сектором и реализация национальной полит</w:t>
      </w:r>
      <w:r>
        <w:rPr>
          <w:rFonts w:ascii="PT Astra Serif" w:hAnsi="PT Astra Serif"/>
          <w:sz w:val="28"/>
          <w:szCs w:val="28"/>
        </w:rPr>
        <w:t xml:space="preserve">ики в городе Барнауле» изложить в новой редакции (приложение 3);</w:t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1.5.2. </w:t>
      </w:r>
      <w:r>
        <w:rPr>
          <w:rFonts w:ascii="PT Astra Serif" w:hAnsi="PT Astra Serif"/>
          <w:sz w:val="28"/>
          <w:szCs w:val="28"/>
        </w:rPr>
        <w:t xml:space="preserve">Подразделы 2.3, 2.4 раздела 2 «Приоритеты муниципальной политики в сфере реализации Подпрограммы, цель и задачи, описание основных ожидаемых конечных результатов Подпрограммы, сроков и</w:t>
      </w:r>
      <w:r>
        <w:rPr>
          <w:rFonts w:ascii="PT Astra Serif" w:hAnsi="PT Astra Serif"/>
          <w:sz w:val="28"/>
          <w:szCs w:val="28"/>
        </w:rPr>
        <w:t xml:space="preserve"> этапов ее реализации» изложить в следующей редакции:</w:t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ind w:firstLine="709"/>
        <w:jc w:val="center"/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«2.3. Конечные результаты реализации Подпрограммы</w:t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  <w:shd w:val="clear" w:color="auto" w:fill="ffffff"/>
        </w:rPr>
        <w:t xml:space="preserve">В ходе реализации Подпрограммы планируется достижение следующих конечных результатов:</w:t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реализация на территории города не менее 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br/>
        <w:t xml:space="preserve">198 социально значимых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 проектов некоммерческими организациями;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Calibri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обеспечение участия в фестивале </w:t>
      </w:r>
      <w:r>
        <w:rPr>
          <w:rFonts w:ascii="Times New Roman" w:hAnsi="Times New Roman" w:eastAsia="Times New Roman" w:cs="Calibri"/>
          <w:sz w:val="28"/>
          <w:szCs w:val="28"/>
          <w:lang w:eastAsia="ru-RU"/>
        </w:rPr>
        <w:t xml:space="preserve">национальных культур «Единой семьей в Барнауле живем!» не менее 25 этнокультурных коллективов и национально-культурных организаций ежегодно;</w:t>
      </w:r>
      <w:r>
        <w:rPr>
          <w:rFonts w:ascii="Times New Roman" w:hAnsi="Times New Roman" w:eastAsia="Times New Roman" w:cs="Calibri"/>
          <w:sz w:val="28"/>
          <w:szCs w:val="28"/>
          <w:lang w:eastAsia="ru-RU"/>
        </w:rPr>
      </w:r>
      <w:r>
        <w:rPr>
          <w:rFonts w:ascii="Times New Roman" w:hAnsi="Times New Roman" w:eastAsia="Times New Roman" w:cs="Calibri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обеспечение доли председателей органов ТОС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, получивших меры поддержки за счет средств бюджета города в виде налоговых льгот, в общей численности председателей органов ТОС города Барнаула, на уровне 9,2%;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Calibri"/>
          <w:sz w:val="28"/>
          <w:szCs w:val="28"/>
          <w:lang w:eastAsia="ru-RU"/>
        </w:rPr>
        <w:t xml:space="preserve">оказание финансовой поддержки из бюджета города Барнаула не менее 15 ТОС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по итогам конкурса «Л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учшее территориальное общественное самоуправление города Барнаула» ежегодно.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  <w:shd w:val="clear" w:color="auto" w:fill="ffffff"/>
        </w:rPr>
        <w:t xml:space="preserve">Сведения о показателях Подпрограммы представлены </w:t>
      </w:r>
      <w:r>
        <w:rPr>
          <w:rFonts w:ascii="PT Astra Serif" w:hAnsi="PT Astra Serif"/>
          <w:sz w:val="28"/>
          <w:szCs w:val="28"/>
          <w:shd w:val="clear" w:color="auto" w:fill="ffffff"/>
        </w:rPr>
        <w:br/>
        <w:t xml:space="preserve">в </w:t>
      </w:r>
      <w:hyperlink r:id="rId11" w:tooltip="http://garant.adm.local/#/document/73326672/entry/5000" w:anchor="/document/73326672/entry/5000" w:history="1">
        <w:r>
          <w:rPr>
            <w:rFonts w:ascii="PT Astra Serif" w:hAnsi="PT Astra Serif"/>
            <w:sz w:val="28"/>
            <w:szCs w:val="28"/>
            <w:shd w:val="clear" w:color="auto" w:fill="ffffff"/>
          </w:rPr>
          <w:t xml:space="preserve">приложении 5</w:t>
        </w:r>
      </w:hyperlink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  <w:shd w:val="clear" w:color="auto" w:fill="ffffff"/>
        </w:rPr>
        <w:t xml:space="preserve">к Программе.</w:t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ind w:firstLine="709"/>
        <w:jc w:val="center"/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2.4. Сроки и этапы реализации Подпрограммы</w:t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Подпрограмма реализуется в течение 2020-2028 годов без деления на этапы.»;</w:t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1.5.3. Раздел 4 изложить в следующей редакции:</w:t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jc w:val="center"/>
        <w:spacing w:after="0" w:line="240" w:lineRule="auto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«4. Общий объем финансовых ресурсов, необходимых</w:t>
      </w:r>
      <w:r>
        <w:rPr>
          <w:rFonts w:ascii="PT Astra Serif" w:hAnsi="PT Astra Serif"/>
          <w:bCs/>
          <w:sz w:val="28"/>
          <w:szCs w:val="28"/>
        </w:rPr>
      </w:r>
      <w:r>
        <w:rPr>
          <w:rFonts w:ascii="PT Astra Serif" w:hAnsi="PT Astra Serif"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PT Astra Serif" w:hAnsi="PT Astra Serif"/>
          <w:bCs/>
          <w:sz w:val="28"/>
          <w:szCs w:val="28"/>
          <w:highlight w:val="yellow"/>
        </w:rPr>
      </w:pPr>
      <w:r>
        <w:rPr>
          <w:rFonts w:ascii="PT Astra Serif" w:hAnsi="PT Astra Serif"/>
          <w:bCs/>
          <w:sz w:val="28"/>
          <w:szCs w:val="28"/>
        </w:rPr>
        <w:t xml:space="preserve">для реа</w:t>
      </w:r>
      <w:r>
        <w:rPr>
          <w:rFonts w:ascii="PT Astra Serif" w:hAnsi="PT Astra Serif"/>
          <w:bCs/>
          <w:sz w:val="28"/>
          <w:szCs w:val="28"/>
        </w:rPr>
        <w:t xml:space="preserve">лизации Подпрограммы</w:t>
      </w:r>
      <w:r>
        <w:rPr>
          <w:rFonts w:ascii="PT Astra Serif" w:hAnsi="PT Astra Serif"/>
          <w:bCs/>
          <w:sz w:val="28"/>
          <w:szCs w:val="28"/>
          <w:highlight w:val="yellow"/>
        </w:rPr>
      </w:r>
      <w:r>
        <w:rPr>
          <w:rFonts w:ascii="PT Astra Serif" w:hAnsi="PT Astra Serif"/>
          <w:bCs/>
          <w:sz w:val="28"/>
          <w:szCs w:val="28"/>
          <w:highlight w:val="yellow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PT Astra Serif" w:hAnsi="PT Astra Serif"/>
          <w:sz w:val="28"/>
          <w:szCs w:val="28"/>
          <w:highlight w:val="yellow"/>
        </w:rPr>
      </w:pPr>
      <w:r>
        <w:rPr>
          <w:rFonts w:ascii="PT Astra Serif" w:hAnsi="PT Astra Serif"/>
          <w:sz w:val="28"/>
          <w:szCs w:val="28"/>
        </w:rPr>
        <w:t xml:space="preserve">Объем финансирования Подпрограммы за счет всех источников в 2020</w:t>
      </w:r>
      <w:r>
        <w:rPr>
          <w:rFonts w:ascii="PT Astra Serif" w:hAnsi="PT Astra Serif" w:eastAsia="Calibri" w:cs="Calibri"/>
          <w:sz w:val="28"/>
          <w:szCs w:val="28"/>
        </w:rPr>
        <w:t xml:space="preserve"> </w:t>
      </w:r>
      <w:r>
        <w:rPr>
          <w:rFonts w:ascii="PT Astra Serif" w:hAnsi="PT Astra Serif" w:eastAsia="Calibri"/>
          <w:sz w:val="28"/>
          <w:szCs w:val="28"/>
        </w:rPr>
        <w:t xml:space="preserve">–</w:t>
      </w:r>
      <w:r>
        <w:rPr>
          <w:rFonts w:ascii="PT Astra Serif" w:hAnsi="PT Astra Serif" w:eastAsia="Calibri" w:cs="Calibri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2028 годах составляет 329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 344,09570 тыс. рублей, в том числе по годам:</w:t>
      </w:r>
      <w:r>
        <w:rPr>
          <w:rFonts w:ascii="PT Astra Serif" w:hAnsi="PT Astra Serif"/>
          <w:sz w:val="28"/>
          <w:szCs w:val="28"/>
          <w:highlight w:val="yellow"/>
        </w:rPr>
      </w:r>
      <w:r>
        <w:rPr>
          <w:rFonts w:ascii="PT Astra Serif" w:hAnsi="PT Astra Serif"/>
          <w:sz w:val="28"/>
          <w:szCs w:val="28"/>
          <w:highlight w:val="yellow"/>
        </w:rPr>
      </w:r>
    </w:p>
    <w:p>
      <w:pPr>
        <w:ind w:firstLine="709"/>
        <w:jc w:val="both"/>
        <w:spacing w:after="0" w:line="228" w:lineRule="auto"/>
        <w:widowControl w:val="off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2020 год – 33 805,1 тыс. рублей;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28" w:lineRule="auto"/>
        <w:widowControl w:val="off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2021 год – 33 803,1 тыс. рублей;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28" w:lineRule="auto"/>
        <w:widowControl w:val="off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2022 год – 33 805,1 тыс. рублей;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28" w:lineRule="auto"/>
        <w:widowControl w:val="off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2023 год – 33 836,8 тыс. рублей;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28" w:lineRule="auto"/>
        <w:widowControl w:val="off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2024 год – 36 589,4 тыс. рублей;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28" w:lineRule="auto"/>
        <w:widowControl w:val="off"/>
        <w:tabs>
          <w:tab w:val="left" w:pos="6897" w:leader="none"/>
        </w:tabs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2025 год – </w:t>
      </w:r>
      <w:r>
        <w:rPr>
          <w:rFonts w:ascii="PT Astra Serif" w:hAnsi="PT Astra Serif" w:cs="Times New Roman"/>
          <w:sz w:val="28"/>
          <w:szCs w:val="28"/>
        </w:rPr>
        <w:t xml:space="preserve">38 695,29570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 тыс. рублей;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ab/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28" w:lineRule="auto"/>
        <w:widowControl w:val="off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2026 год – </w:t>
      </w:r>
      <w:r>
        <w:rPr>
          <w:rFonts w:ascii="PT Astra Serif" w:hAnsi="PT Astra Serif" w:cs="Times New Roman"/>
          <w:sz w:val="28"/>
          <w:szCs w:val="28"/>
        </w:rPr>
        <w:t xml:space="preserve">39 603,10000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 тыс. рублей;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28" w:lineRule="auto"/>
        <w:widowControl w:val="off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2027 год – </w:t>
      </w:r>
      <w:r>
        <w:rPr>
          <w:rFonts w:ascii="PT Astra Serif" w:hAnsi="PT Astra Serif" w:cs="Times New Roman"/>
          <w:sz w:val="28"/>
          <w:szCs w:val="28"/>
        </w:rPr>
        <w:t xml:space="preserve">39 603,10000 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тыс. рублей;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28" w:lineRule="auto"/>
        <w:widowControl w:val="off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2028 год – </w:t>
      </w:r>
      <w:r>
        <w:rPr>
          <w:rFonts w:ascii="PT Astra Serif" w:hAnsi="PT Astra Serif" w:cs="Times New Roman"/>
          <w:sz w:val="28"/>
          <w:szCs w:val="28"/>
        </w:rPr>
        <w:t xml:space="preserve">39 603,10000 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тыс. рублей;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/>
          <w:sz w:val="28"/>
          <w:szCs w:val="28"/>
          <w:highlight w:val="yellow"/>
        </w:rPr>
      </w:pPr>
      <w:r>
        <w:rPr>
          <w:rFonts w:ascii="PT Astra Serif" w:hAnsi="PT Astra Serif"/>
          <w:sz w:val="28"/>
          <w:szCs w:val="28"/>
        </w:rPr>
        <w:t xml:space="preserve">в том числе за счет средств бюджета города Барнаула – </w:t>
      </w:r>
      <w:r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 w:cs="Times New Roman"/>
          <w:sz w:val="28"/>
          <w:szCs w:val="28"/>
          <w:highlight w:val="white"/>
        </w:rPr>
        <w:t xml:space="preserve">149 650,69570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 тыс. рублей:</w:t>
      </w:r>
      <w:r>
        <w:rPr>
          <w:rFonts w:ascii="PT Astra Serif" w:hAnsi="PT Astra Serif"/>
          <w:sz w:val="28"/>
          <w:szCs w:val="28"/>
          <w:highlight w:val="yellow"/>
        </w:rPr>
      </w:r>
      <w:r>
        <w:rPr>
          <w:rFonts w:ascii="PT Astra Serif" w:hAnsi="PT Astra Serif"/>
          <w:sz w:val="28"/>
          <w:szCs w:val="28"/>
          <w:highlight w:val="yellow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2020 год – 15 805,1 тыс. рублей;</w:t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2021 год – 15 803,1 тыс. рублей;</w:t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2022 год – 15 805,1 тыс. рублей;</w:t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2023 год – 14 273,8 тыс. рублей;</w:t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2024 год – 16 582,0 тыс. рублей;</w:t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2025 год </w:t>
      </w:r>
      <w:r>
        <w:rPr>
          <w:rFonts w:ascii="PT Astra Serif" w:hAnsi="PT Astra Serif"/>
          <w:sz w:val="28"/>
          <w:szCs w:val="28"/>
        </w:rPr>
        <w:t xml:space="preserve">– 17 135,29570 тыс. рублей;</w:t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2026 год – 18 082,10000 тыс. рублей;</w:t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2027 год – 18 082,10000 тыс. рублей; </w:t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2028 год – 18 082,10000 тыс. рублей,</w:t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/>
          <w:sz w:val="28"/>
          <w:szCs w:val="28"/>
          <w:highlight w:val="yellow"/>
        </w:rPr>
      </w:pPr>
      <w:r>
        <w:rPr>
          <w:rFonts w:ascii="PT Astra Serif" w:hAnsi="PT Astra Serif"/>
          <w:sz w:val="28"/>
          <w:szCs w:val="28"/>
        </w:rPr>
        <w:t xml:space="preserve">в том числе за счет внебюджетных источников – </w:t>
      </w:r>
      <w:r>
        <w:rPr>
          <w:rFonts w:ascii="PT Astra Serif" w:hAnsi="PT Astra Serif"/>
          <w:sz w:val="28"/>
          <w:szCs w:val="28"/>
        </w:rPr>
        <w:br/>
        <w:t xml:space="preserve">179 693,40000 тыс. рублей:</w:t>
      </w:r>
      <w:r>
        <w:rPr>
          <w:rFonts w:ascii="PT Astra Serif" w:hAnsi="PT Astra Serif"/>
          <w:sz w:val="28"/>
          <w:szCs w:val="28"/>
          <w:highlight w:val="yellow"/>
        </w:rPr>
      </w:r>
      <w:r>
        <w:rPr>
          <w:rFonts w:ascii="PT Astra Serif" w:hAnsi="PT Astra Serif"/>
          <w:sz w:val="28"/>
          <w:szCs w:val="28"/>
          <w:highlight w:val="yellow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2020 год – 18 000,0 тыс. рублей;</w:t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2021 год – 18 000,0 тыс. рублей;</w:t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2022 год – 18 000,0 тыс. рублей;</w:t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2023 год – 19 563,0 тыс. рублей;</w:t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2024 год – 20 007,4 тыс. рублей;</w:t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2025 год – 21 560,00000 тыс. рублей;</w:t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2026 год – 21 521,00000 тыс. рублей;</w:t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2027 год – 21 521,00000 тыс. рублей;</w:t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2028 год – 21</w:t>
      </w:r>
      <w:r>
        <w:rPr>
          <w:rFonts w:ascii="PT Astra Serif" w:hAnsi="PT Astra Serif"/>
          <w:sz w:val="28"/>
          <w:szCs w:val="28"/>
        </w:rPr>
        <w:t xml:space="preserve"> 521,00000 тыс. рублей.</w:t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Реализация мероприятий в рамках Подпрограммы в части финансирования из средств бюджета города Барнаула является расходным обязательством городского округа – города Барнаула Алтайского края.</w:t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Объемы финансирования подлежат ежегодному </w:t>
      </w:r>
      <w:r>
        <w:rPr>
          <w:rFonts w:ascii="PT Astra Serif" w:hAnsi="PT Astra Serif"/>
          <w:sz w:val="28"/>
          <w:szCs w:val="28"/>
        </w:rPr>
        <w:t xml:space="preserve">уточнению </w:t>
      </w:r>
      <w:r>
        <w:rPr>
          <w:rFonts w:ascii="PT Astra Serif" w:hAnsi="PT Astra Serif"/>
          <w:sz w:val="28"/>
          <w:szCs w:val="28"/>
        </w:rPr>
        <w:br/>
        <w:t xml:space="preserve">в соответствии с решением Барнаульской городской Думы о бюджете города Барнаула на очередной финансовый год и на плановый период.</w:t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/>
          <w:sz w:val="28"/>
          <w:szCs w:val="28"/>
          <w:highlight w:val="yellow"/>
        </w:rPr>
      </w:pPr>
      <w:r>
        <w:rPr>
          <w:rFonts w:ascii="PT Astra Serif" w:hAnsi="PT Astra Serif"/>
          <w:sz w:val="28"/>
          <w:szCs w:val="28"/>
        </w:rPr>
        <w:t xml:space="preserve">Объемы налоговых расходов города Барнаула в рамках </w:t>
      </w:r>
      <w:r>
        <w:rPr>
          <w:rFonts w:ascii="PT Astra Serif" w:hAnsi="PT Astra Serif"/>
          <w:sz w:val="28"/>
          <w:szCs w:val="28"/>
        </w:rPr>
        <w:br/>
        <w:t xml:space="preserve">Программы – </w:t>
      </w:r>
      <w:r>
        <w:rPr>
          <w:rFonts w:ascii="PT Astra Serif" w:hAnsi="PT Astra Serif" w:eastAsia="Calibri" w:cs="Times New Roman"/>
          <w:sz w:val="28"/>
          <w:szCs w:val="28"/>
          <w:lang w:eastAsia="ru-RU"/>
        </w:rPr>
        <w:t xml:space="preserve">131,0</w:t>
      </w:r>
      <w:r>
        <w:rPr>
          <w:rFonts w:ascii="PT Astra Serif" w:hAnsi="PT Astra Serif" w:eastAsia="Calibri" w:cs="Times New Roman"/>
          <w:sz w:val="28"/>
          <w:szCs w:val="28"/>
          <w:lang w:eastAsia="ru-RU"/>
        </w:rPr>
        <w:t xml:space="preserve">постановление барнаул 1882</w:t>
      </w:r>
      <w:r>
        <w:rPr>
          <w:rFonts w:ascii="PT Astra Serif" w:hAnsi="PT Astra Serif" w:eastAsia="Calibri" w:cs="Times New Roman"/>
          <w:sz w:val="28"/>
          <w:szCs w:val="28"/>
          <w:lang w:eastAsia="ru-RU"/>
        </w:rPr>
      </w:r>
      <w:r>
        <w:rPr>
          <w:rFonts w:ascii="PT Astra Serif" w:hAnsi="PT Astra Serif" w:eastAsia="Calibri" w:cs="Times New Roman"/>
          <w:sz w:val="28"/>
          <w:szCs w:val="28"/>
          <w:lang w:eastAsia="ru-RU"/>
        </w:rPr>
        <w:t xml:space="preserve">постановление барнаул 1882</w:t>
      </w:r>
      <w:r>
        <w:rPr>
          <w:rFonts w:ascii="PT Astra Serif" w:hAnsi="PT Astra Serif" w:eastAsia="Calibri" w:cs="Times New Roman"/>
          <w:sz w:val="28"/>
          <w:szCs w:val="28"/>
          <w:lang w:eastAsia="ru-RU"/>
        </w:rPr>
        <w:t xml:space="preserve">0000 </w:t>
      </w:r>
      <w:r>
        <w:rPr>
          <w:rFonts w:ascii="PT Astra Serif" w:hAnsi="PT Astra Serif"/>
          <w:sz w:val="28"/>
          <w:szCs w:val="28"/>
        </w:rPr>
        <w:t xml:space="preserve">тыс. рублей, в том числе по годам:</w:t>
      </w:r>
      <w:r>
        <w:rPr>
          <w:rFonts w:ascii="PT Astra Serif" w:hAnsi="PT Astra Serif"/>
          <w:sz w:val="28"/>
          <w:szCs w:val="28"/>
          <w:highlight w:val="yellow"/>
        </w:rPr>
      </w:r>
      <w:r>
        <w:rPr>
          <w:rFonts w:ascii="PT Astra Serif" w:hAnsi="PT Astra Serif"/>
          <w:sz w:val="28"/>
          <w:szCs w:val="28"/>
          <w:highlight w:val="yellow"/>
        </w:rPr>
      </w:r>
    </w:p>
    <w:p>
      <w:pPr>
        <w:ind w:firstLine="709"/>
        <w:jc w:val="both"/>
        <w:spacing w:after="0" w:line="228" w:lineRule="auto"/>
        <w:rPr>
          <w:rFonts w:ascii="PT Astra Serif" w:hAnsi="PT Astra Serif" w:eastAsia="Calibri" w:cs="Times New Roman"/>
          <w:sz w:val="28"/>
          <w:szCs w:val="28"/>
          <w:lang w:eastAsia="ru-RU"/>
        </w:rPr>
      </w:pPr>
      <w:r>
        <w:rPr>
          <w:rFonts w:ascii="PT Astra Serif" w:hAnsi="PT Astra Serif" w:eastAsia="Calibri" w:cs="Times New Roman"/>
          <w:sz w:val="28"/>
          <w:szCs w:val="28"/>
          <w:lang w:eastAsia="ru-RU"/>
        </w:rPr>
        <w:t xml:space="preserve">2020 г</w:t>
      </w:r>
      <w:r>
        <w:rPr>
          <w:rFonts w:ascii="PT Astra Serif" w:hAnsi="PT Astra Serif" w:eastAsia="Calibri" w:cs="Times New Roman"/>
          <w:sz w:val="28"/>
          <w:szCs w:val="28"/>
          <w:lang w:eastAsia="ru-RU"/>
        </w:rPr>
        <w:t xml:space="preserve">од – 39,0 тыс. рублей;</w:t>
      </w:r>
      <w:r>
        <w:rPr>
          <w:rFonts w:ascii="PT Astra Serif" w:hAnsi="PT Astra Serif" w:eastAsia="Calibri" w:cs="Times New Roman"/>
          <w:sz w:val="28"/>
          <w:szCs w:val="28"/>
          <w:lang w:eastAsia="ru-RU"/>
        </w:rPr>
      </w:r>
      <w:r>
        <w:rPr>
          <w:rFonts w:ascii="PT Astra Serif" w:hAnsi="PT Astra Serif" w:eastAsia="Calibri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28" w:lineRule="auto"/>
        <w:rPr>
          <w:rFonts w:ascii="PT Astra Serif" w:hAnsi="PT Astra Serif" w:eastAsia="Calibri" w:cs="Times New Roman"/>
          <w:sz w:val="28"/>
          <w:szCs w:val="28"/>
          <w:lang w:eastAsia="ru-RU"/>
        </w:rPr>
      </w:pPr>
      <w:r>
        <w:rPr>
          <w:rFonts w:ascii="PT Astra Serif" w:hAnsi="PT Astra Serif" w:eastAsia="Calibri" w:cs="Times New Roman"/>
          <w:sz w:val="28"/>
          <w:szCs w:val="28"/>
          <w:lang w:eastAsia="ru-RU"/>
        </w:rPr>
        <w:t xml:space="preserve">2021 год – 30,7 тыс. рублей;</w:t>
      </w:r>
      <w:r>
        <w:rPr>
          <w:rFonts w:ascii="PT Astra Serif" w:hAnsi="PT Astra Serif" w:eastAsia="Calibri" w:cs="Times New Roman"/>
          <w:sz w:val="28"/>
          <w:szCs w:val="28"/>
          <w:lang w:eastAsia="ru-RU"/>
        </w:rPr>
      </w:r>
      <w:r>
        <w:rPr>
          <w:rFonts w:ascii="PT Astra Serif" w:hAnsi="PT Astra Serif" w:eastAsia="Calibri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28" w:lineRule="auto"/>
        <w:rPr>
          <w:rFonts w:ascii="PT Astra Serif" w:hAnsi="PT Astra Serif" w:eastAsia="Calibri" w:cs="Times New Roman"/>
          <w:sz w:val="28"/>
          <w:szCs w:val="28"/>
          <w:lang w:eastAsia="ru-RU"/>
        </w:rPr>
      </w:pPr>
      <w:r>
        <w:rPr>
          <w:rFonts w:ascii="PT Astra Serif" w:hAnsi="PT Astra Serif" w:eastAsia="Calibri" w:cs="Times New Roman"/>
          <w:sz w:val="28"/>
          <w:szCs w:val="28"/>
          <w:lang w:eastAsia="ru-RU"/>
        </w:rPr>
        <w:t xml:space="preserve">2022 год – 30,2 тыс. рублей;</w:t>
      </w:r>
      <w:r>
        <w:rPr>
          <w:rFonts w:ascii="PT Astra Serif" w:hAnsi="PT Astra Serif" w:eastAsia="Calibri" w:cs="Times New Roman"/>
          <w:sz w:val="28"/>
          <w:szCs w:val="28"/>
          <w:lang w:eastAsia="ru-RU"/>
        </w:rPr>
      </w:r>
      <w:r>
        <w:rPr>
          <w:rFonts w:ascii="PT Astra Serif" w:hAnsi="PT Astra Serif" w:eastAsia="Calibri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28" w:lineRule="auto"/>
        <w:rPr>
          <w:rFonts w:ascii="PT Astra Serif" w:hAnsi="PT Astra Serif" w:eastAsia="Calibri" w:cs="Times New Roman"/>
          <w:sz w:val="28"/>
          <w:szCs w:val="28"/>
          <w:lang w:eastAsia="ru-RU"/>
        </w:rPr>
      </w:pPr>
      <w:r>
        <w:rPr>
          <w:rFonts w:ascii="PT Astra Serif" w:hAnsi="PT Astra Serif" w:eastAsia="Calibri" w:cs="Times New Roman"/>
          <w:sz w:val="28"/>
          <w:szCs w:val="28"/>
          <w:lang w:eastAsia="ru-RU"/>
        </w:rPr>
        <w:t xml:space="preserve">2023 год – 21,6 тыс. рублей;</w:t>
      </w:r>
      <w:r>
        <w:rPr>
          <w:rFonts w:ascii="PT Astra Serif" w:hAnsi="PT Astra Serif" w:eastAsia="Calibri" w:cs="Times New Roman"/>
          <w:sz w:val="28"/>
          <w:szCs w:val="28"/>
          <w:lang w:eastAsia="ru-RU"/>
        </w:rPr>
      </w:r>
      <w:r>
        <w:rPr>
          <w:rFonts w:ascii="PT Astra Serif" w:hAnsi="PT Astra Serif" w:eastAsia="Calibri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28" w:lineRule="auto"/>
        <w:rPr>
          <w:rFonts w:ascii="PT Astra Serif" w:hAnsi="PT Astra Serif" w:eastAsia="Calibri" w:cs="Times New Roman"/>
          <w:sz w:val="28"/>
          <w:szCs w:val="28"/>
          <w:lang w:eastAsia="ru-RU"/>
        </w:rPr>
      </w:pPr>
      <w:r>
        <w:rPr>
          <w:rFonts w:ascii="PT Astra Serif" w:hAnsi="PT Astra Serif" w:eastAsia="Calibri" w:cs="Times New Roman"/>
          <w:sz w:val="28"/>
          <w:szCs w:val="28"/>
          <w:lang w:eastAsia="ru-RU"/>
        </w:rPr>
        <w:t xml:space="preserve">2024 год – 1,9 тыс. рублей;</w:t>
      </w:r>
      <w:r>
        <w:rPr>
          <w:rFonts w:ascii="PT Astra Serif" w:hAnsi="PT Astra Serif" w:eastAsia="Calibri" w:cs="Times New Roman"/>
          <w:sz w:val="28"/>
          <w:szCs w:val="28"/>
          <w:lang w:eastAsia="ru-RU"/>
        </w:rPr>
      </w:r>
      <w:r>
        <w:rPr>
          <w:rFonts w:ascii="PT Astra Serif" w:hAnsi="PT Astra Serif" w:eastAsia="Calibri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28" w:lineRule="auto"/>
        <w:rPr>
          <w:rFonts w:ascii="PT Astra Serif" w:hAnsi="PT Astra Serif" w:eastAsia="Calibri" w:cs="Times New Roman"/>
          <w:sz w:val="28"/>
          <w:szCs w:val="28"/>
          <w:lang w:eastAsia="ru-RU"/>
        </w:rPr>
      </w:pPr>
      <w:r>
        <w:rPr>
          <w:rFonts w:ascii="PT Astra Serif" w:hAnsi="PT Astra Serif" w:eastAsia="Calibri" w:cs="Times New Roman"/>
          <w:sz w:val="28"/>
          <w:szCs w:val="28"/>
          <w:lang w:eastAsia="ru-RU"/>
        </w:rPr>
        <w:t xml:space="preserve">2025 год – 1,90000 тыс. рублей;</w:t>
      </w:r>
      <w:r>
        <w:rPr>
          <w:rFonts w:ascii="PT Astra Serif" w:hAnsi="PT Astra Serif" w:eastAsia="Calibri" w:cs="Times New Roman"/>
          <w:sz w:val="28"/>
          <w:szCs w:val="28"/>
          <w:lang w:eastAsia="ru-RU"/>
        </w:rPr>
      </w:r>
      <w:r>
        <w:rPr>
          <w:rFonts w:ascii="PT Astra Serif" w:hAnsi="PT Astra Serif" w:eastAsia="Calibri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28" w:lineRule="auto"/>
        <w:rPr>
          <w:rFonts w:ascii="PT Astra Serif" w:hAnsi="PT Astra Serif" w:eastAsia="Calibri" w:cs="Times New Roman"/>
          <w:sz w:val="28"/>
          <w:szCs w:val="28"/>
          <w:lang w:eastAsia="ru-RU"/>
        </w:rPr>
      </w:pPr>
      <w:r>
        <w:rPr>
          <w:rFonts w:ascii="PT Astra Serif" w:hAnsi="PT Astra Serif" w:eastAsia="Calibri" w:cs="Times New Roman"/>
          <w:sz w:val="28"/>
          <w:szCs w:val="28"/>
          <w:lang w:eastAsia="ru-RU"/>
        </w:rPr>
        <w:t xml:space="preserve">2026 год – 1,90000 тыс. рублей;</w:t>
      </w:r>
      <w:r>
        <w:rPr>
          <w:rFonts w:ascii="PT Astra Serif" w:hAnsi="PT Astra Serif" w:eastAsia="Calibri" w:cs="Times New Roman"/>
          <w:sz w:val="28"/>
          <w:szCs w:val="28"/>
          <w:lang w:eastAsia="ru-RU"/>
        </w:rPr>
      </w:r>
      <w:r>
        <w:rPr>
          <w:rFonts w:ascii="PT Astra Serif" w:hAnsi="PT Astra Serif" w:eastAsia="Calibri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28" w:lineRule="auto"/>
        <w:rPr>
          <w:rFonts w:ascii="PT Astra Serif" w:hAnsi="PT Astra Serif" w:eastAsia="Calibri" w:cs="Times New Roman"/>
          <w:sz w:val="28"/>
          <w:szCs w:val="28"/>
          <w:lang w:eastAsia="ru-RU"/>
        </w:rPr>
      </w:pPr>
      <w:r>
        <w:rPr>
          <w:rFonts w:ascii="PT Astra Serif" w:hAnsi="PT Astra Serif" w:eastAsia="Calibri" w:cs="Times New Roman"/>
          <w:sz w:val="28"/>
          <w:szCs w:val="28"/>
          <w:lang w:eastAsia="ru-RU"/>
        </w:rPr>
        <w:t xml:space="preserve">2027 год – 1,90000 тыс. рублей;</w:t>
      </w:r>
      <w:r>
        <w:rPr>
          <w:rFonts w:ascii="PT Astra Serif" w:hAnsi="PT Astra Serif" w:eastAsia="Calibri" w:cs="Times New Roman"/>
          <w:sz w:val="28"/>
          <w:szCs w:val="28"/>
          <w:lang w:eastAsia="ru-RU"/>
        </w:rPr>
      </w:r>
      <w:r>
        <w:rPr>
          <w:rFonts w:ascii="PT Astra Serif" w:hAnsi="PT Astra Serif" w:eastAsia="Calibri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eastAsia="Calibri" w:cs="Times New Roman"/>
          <w:sz w:val="28"/>
          <w:szCs w:val="28"/>
          <w:lang w:eastAsia="ru-RU"/>
        </w:rPr>
        <w:t xml:space="preserve">2028 год – 1,90000 тыс. рублей.</w:t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За 2020-2024 годы объем налоговых расходов города Барнаула указан в соответствии с фискальными характеристиками налоговых расходов города Барнаула, предоставленных УФНС России по Алтайскому краю.»;</w:t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1.6. В приложении 4 к муни</w:t>
      </w:r>
      <w:r>
        <w:rPr>
          <w:rFonts w:ascii="PT Astra Serif" w:hAnsi="PT Astra Serif"/>
          <w:sz w:val="28"/>
          <w:szCs w:val="28"/>
        </w:rPr>
        <w:t xml:space="preserve">ципальной программе «Совершенствование муниципального управления и реализация национальной политики в городе Барнауле»:</w:t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1.6.1. Раздел «ПАСПОРТ подпрограммы «Противодействие экстремизму и идеологии терроризма в городе Барнауле» изложить</w:t>
      </w:r>
      <w:r>
        <w:rPr>
          <w:rFonts w:ascii="PT Astra Serif" w:hAnsi="PT Astra Serif"/>
          <w:sz w:val="28"/>
          <w:szCs w:val="28"/>
        </w:rPr>
        <w:br/>
        <w:t xml:space="preserve">в новой редакции (пр</w:t>
      </w:r>
      <w:r>
        <w:rPr>
          <w:rFonts w:ascii="PT Astra Serif" w:hAnsi="PT Astra Serif"/>
          <w:sz w:val="28"/>
          <w:szCs w:val="28"/>
        </w:rPr>
        <w:t xml:space="preserve">иложение 4);</w:t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1.6.2. В разделе 2 «Приоритеты муниципальной политики в сфере реализации Подпрограммы, цель и задачи, описание основных ожидаемых конечных результатов Подпрограммы, сроков и этапов ее реализации»:</w:t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1.6.2.1. Подразделы 2.3, 2.4 изложить в следую</w:t>
      </w:r>
      <w:r>
        <w:rPr>
          <w:rFonts w:ascii="PT Astra Serif" w:hAnsi="PT Astra Serif"/>
          <w:sz w:val="28"/>
          <w:szCs w:val="28"/>
        </w:rPr>
        <w:t xml:space="preserve">щей редакции:</w:t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jc w:val="center"/>
        <w:spacing w:after="0" w:line="240" w:lineRule="auto"/>
        <w:shd w:val="clear" w:color="auto" w:fill="ffffff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«2.3. Конечные результаты реализации Подпрограммы</w:t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ind w:firstLine="709"/>
        <w:jc w:val="both"/>
        <w:spacing w:after="0" w:line="240" w:lineRule="auto"/>
        <w:shd w:val="clear" w:color="auto" w:fill="ffffff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результате реализации Подпрограммы планируется достижение следующих конечных результатов:</w:t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рассмотрение в ходе заседаний антитеррористической комиссии города Барнаула и межведомственной комис</w:t>
      </w:r>
      <w:r>
        <w:rPr>
          <w:rFonts w:ascii="PT Astra Serif" w:hAnsi="PT Astra Serif"/>
          <w:sz w:val="28"/>
          <w:szCs w:val="28"/>
        </w:rPr>
        <w:t xml:space="preserve">сии города Барнаула по противодействию экстремизму не менее 112 вопросов;</w:t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размещение в газете «Вечерний Барнаул» и на официальном Интернет-сайте города Барнаула не менее </w:t>
      </w:r>
      <w:r>
        <w:rPr>
          <w:rFonts w:ascii="PT Astra Serif" w:hAnsi="PT Astra Serif"/>
          <w:color w:val="000000"/>
          <w:sz w:val="28"/>
          <w:szCs w:val="28"/>
        </w:rPr>
        <w:t xml:space="preserve">580 </w:t>
      </w:r>
      <w:r>
        <w:rPr>
          <w:rFonts w:ascii="PT Astra Serif" w:hAnsi="PT Astra Serif"/>
          <w:sz w:val="28"/>
          <w:szCs w:val="28"/>
        </w:rPr>
        <w:t xml:space="preserve">статей и информационных сообщений о принимаемых мерах в сфере противодействия экст</w:t>
      </w:r>
      <w:r>
        <w:rPr>
          <w:rFonts w:ascii="PT Astra Serif" w:hAnsi="PT Astra Serif"/>
          <w:sz w:val="28"/>
          <w:szCs w:val="28"/>
        </w:rPr>
        <w:t xml:space="preserve">ремизму и терроризму;</w:t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распространение среди населения города Барнаула не </w:t>
      </w:r>
      <w:r>
        <w:rPr>
          <w:rFonts w:ascii="PT Astra Serif" w:hAnsi="PT Astra Serif"/>
          <w:color w:val="000000"/>
          <w:sz w:val="28"/>
          <w:szCs w:val="28"/>
        </w:rPr>
        <w:t xml:space="preserve">менее </w:t>
      </w:r>
      <w:r>
        <w:rPr>
          <w:rFonts w:ascii="PT Astra Serif" w:hAnsi="PT Astra Serif"/>
          <w:color w:val="000000"/>
          <w:sz w:val="28"/>
          <w:szCs w:val="28"/>
        </w:rPr>
        <w:br/>
        <w:t xml:space="preserve">16000 </w:t>
      </w:r>
      <w:r>
        <w:rPr>
          <w:rFonts w:ascii="PT Astra Serif" w:hAnsi="PT Astra Serif"/>
          <w:sz w:val="28"/>
          <w:szCs w:val="28"/>
        </w:rPr>
        <w:t xml:space="preserve">экземпляров полиграфической продукции (листовок, памяток, буклетов, брошюр) по тематике противодействия экстремизму и терроризму, социальной и культурной адаптации иностр</w:t>
      </w:r>
      <w:r>
        <w:rPr>
          <w:rFonts w:ascii="PT Astra Serif" w:hAnsi="PT Astra Serif"/>
          <w:sz w:val="28"/>
          <w:szCs w:val="28"/>
        </w:rPr>
        <w:t xml:space="preserve">анных граждан;</w:t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ind w:firstLine="709"/>
        <w:jc w:val="both"/>
        <w:spacing w:after="0" w:line="240" w:lineRule="auto"/>
        <w:tabs>
          <w:tab w:val="left" w:pos="390" w:leader="none"/>
          <w:tab w:val="left" w:pos="936" w:leader="none"/>
          <w:tab w:val="left" w:pos="1014" w:leader="none"/>
        </w:tabs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обеспечение доли потенциальных объектов террористических пос</w:t>
      </w:r>
      <w:r>
        <w:rPr>
          <w:rFonts w:ascii="PT Astra Serif" w:hAnsi="PT Astra Serif"/>
          <w:sz w:val="28"/>
          <w:szCs w:val="28"/>
        </w:rPr>
        <w:t xml:space="preserve">ягательств в сферах образования, спорта и культуры, находящихся в муниципальной собственности или в ведении органов местного самоуправления города Барнаула, антитеррористическая защищенность которых соответствует законодательству, на уровне не менее 40,0%.</w:t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  <w:shd w:val="clear" w:color="auto" w:fill="ffffff"/>
        </w:rPr>
        <w:t xml:space="preserve">Сведения о показателях Подпрограммы представлены </w:t>
      </w:r>
      <w:r>
        <w:rPr>
          <w:rFonts w:ascii="PT Astra Serif" w:hAnsi="PT Astra Serif"/>
          <w:sz w:val="28"/>
          <w:szCs w:val="28"/>
          <w:shd w:val="clear" w:color="auto" w:fill="ffffff"/>
        </w:rPr>
        <w:br/>
        <w:t xml:space="preserve">в </w:t>
      </w:r>
      <w:hyperlink r:id="rId12" w:tooltip="http://garant.adm.local/#/document/73326672/entry/5000" w:anchor="/document/73326672/entry/5000" w:history="1">
        <w:r>
          <w:rPr>
            <w:rFonts w:ascii="PT Astra Serif" w:hAnsi="PT Astra Serif"/>
            <w:sz w:val="28"/>
            <w:szCs w:val="28"/>
            <w:shd w:val="clear" w:color="auto" w:fill="ffffff"/>
          </w:rPr>
          <w:t xml:space="preserve">приложении 5</w:t>
        </w:r>
      </w:hyperlink>
      <w:r>
        <w:rPr>
          <w:rFonts w:ascii="PT Astra Serif" w:hAnsi="PT Astra Serif"/>
          <w:sz w:val="28"/>
          <w:szCs w:val="28"/>
          <w:shd w:val="clear" w:color="auto" w:fill="ffffff"/>
        </w:rPr>
        <w:t xml:space="preserve"> к Программе.</w:t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jc w:val="center"/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2.4. Сроки и этапы реализации Подпрограммы</w:t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Подпрограмма реализуется в течение 2022-2028 годов без деления на этапы.»;</w:t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ind w:firstLine="709"/>
        <w:jc w:val="both"/>
        <w:spacing w:after="0" w:line="233" w:lineRule="auto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1.6.3. Раздел 4 изложить в следующей редакции: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</w:p>
    <w:p>
      <w:pPr>
        <w:ind w:firstLine="709"/>
        <w:jc w:val="center"/>
        <w:spacing w:after="0" w:line="233" w:lineRule="auto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«4. Общий объем финансовых ресурсов, необходимых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</w:p>
    <w:p>
      <w:pPr>
        <w:ind w:firstLine="709"/>
        <w:jc w:val="center"/>
        <w:spacing w:after="0" w:line="233" w:lineRule="auto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для реализации Подпрограммы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33" w:lineRule="auto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Объем финансир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ования Подпрограммы за счет всех источников 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br/>
        <w:t xml:space="preserve">в 2022 – 2028 годах составляет </w:t>
      </w:r>
      <w:r>
        <w:rPr>
          <w:rFonts w:ascii="PT Astra Serif" w:hAnsi="PT Astra Serif"/>
          <w:sz w:val="28"/>
          <w:szCs w:val="28"/>
        </w:rPr>
        <w:t xml:space="preserve">919 588,44290 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тыс. рублей, в том числе по годам: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33" w:lineRule="auto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2022 год – 0,0 тыс. рублей;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33" w:lineRule="auto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2023 год – 85 661,8 тыс. рублей; 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33" w:lineRule="auto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2024 год – 101 927,7 тыс. рублей;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</w:p>
    <w:p>
      <w:pPr>
        <w:ind w:left="709"/>
        <w:jc w:val="both"/>
        <w:spacing w:after="0" w:line="233" w:lineRule="auto"/>
        <w:rPr>
          <w:rFonts w:ascii="PT Astra Serif" w:hAnsi="PT Astra Serif"/>
          <w:sz w:val="28"/>
          <w:szCs w:val="28"/>
          <w:highlight w:val="white"/>
        </w:rPr>
      </w:pPr>
      <w:r>
        <w:rPr>
          <w:rFonts w:ascii="PT Astra Serif" w:hAnsi="PT Astra Serif"/>
          <w:sz w:val="28"/>
          <w:szCs w:val="28"/>
          <w:highlight w:val="white"/>
        </w:rPr>
        <w:t xml:space="preserve">2025 год – 210</w:t>
      </w:r>
      <w:r>
        <w:rPr>
          <w:rFonts w:ascii="PT Astra Serif" w:hAnsi="PT Astra Serif"/>
          <w:color w:val="000000" w:themeColor="text1"/>
          <w:sz w:val="28"/>
          <w:szCs w:val="28"/>
          <w:highlight w:val="white"/>
        </w:rPr>
        <w:t xml:space="preserve"> 173,14290 </w:t>
      </w:r>
      <w:r>
        <w:rPr>
          <w:rFonts w:ascii="PT Astra Serif" w:hAnsi="PT Astra Serif"/>
          <w:sz w:val="28"/>
          <w:szCs w:val="28"/>
          <w:highlight w:val="white"/>
        </w:rPr>
        <w:t xml:space="preserve">тыс. рубле</w:t>
      </w:r>
      <w:r>
        <w:rPr>
          <w:rFonts w:ascii="PT Astra Serif" w:hAnsi="PT Astra Serif"/>
          <w:sz w:val="28"/>
          <w:szCs w:val="28"/>
          <w:highlight w:val="white"/>
        </w:rPr>
        <w:t xml:space="preserve">й; </w:t>
      </w:r>
      <w:r>
        <w:rPr>
          <w:rFonts w:ascii="PT Astra Serif" w:hAnsi="PT Astra Serif"/>
          <w:sz w:val="28"/>
          <w:szCs w:val="28"/>
          <w:highlight w:val="white"/>
        </w:rPr>
      </w:r>
      <w:r>
        <w:rPr>
          <w:rFonts w:ascii="PT Astra Serif" w:hAnsi="PT Astra Serif"/>
          <w:sz w:val="28"/>
          <w:szCs w:val="28"/>
          <w:highlight w:val="white"/>
        </w:rPr>
      </w:r>
    </w:p>
    <w:p>
      <w:pPr>
        <w:ind w:left="709"/>
        <w:jc w:val="both"/>
        <w:spacing w:after="0" w:line="233" w:lineRule="auto"/>
        <w:rPr>
          <w:rFonts w:ascii="PT Astra Serif" w:hAnsi="PT Astra Serif"/>
          <w:sz w:val="28"/>
          <w:szCs w:val="28"/>
          <w:highlight w:val="white"/>
        </w:rPr>
      </w:pPr>
      <w:r>
        <w:rPr>
          <w:rFonts w:ascii="PT Astra Serif" w:hAnsi="PT Astra Serif"/>
          <w:sz w:val="28"/>
          <w:szCs w:val="28"/>
          <w:highlight w:val="white"/>
        </w:rPr>
        <w:t xml:space="preserve">2026 год – 216 869,8</w:t>
      </w:r>
      <w:r>
        <w:rPr>
          <w:rFonts w:ascii="PT Astra Serif" w:hAnsi="PT Astra Serif"/>
          <w:color w:val="000000" w:themeColor="text1"/>
          <w:sz w:val="28"/>
          <w:szCs w:val="28"/>
          <w:highlight w:val="white"/>
        </w:rPr>
        <w:t xml:space="preserve">0000</w:t>
      </w:r>
      <w:r>
        <w:rPr>
          <w:rFonts w:ascii="PT Astra Serif" w:hAnsi="PT Astra Serif"/>
          <w:sz w:val="28"/>
          <w:szCs w:val="28"/>
          <w:highlight w:val="white"/>
        </w:rPr>
        <w:t xml:space="preserve"> тыс. рублей;</w:t>
      </w:r>
      <w:r>
        <w:rPr>
          <w:rFonts w:ascii="PT Astra Serif" w:hAnsi="PT Astra Serif"/>
          <w:sz w:val="28"/>
          <w:szCs w:val="28"/>
          <w:highlight w:val="white"/>
        </w:rPr>
      </w:r>
      <w:r>
        <w:rPr>
          <w:rFonts w:ascii="PT Astra Serif" w:hAnsi="PT Astra Serif"/>
          <w:sz w:val="28"/>
          <w:szCs w:val="28"/>
          <w:highlight w:val="white"/>
        </w:rPr>
      </w:r>
    </w:p>
    <w:p>
      <w:pPr>
        <w:ind w:left="709"/>
        <w:jc w:val="both"/>
        <w:spacing w:after="0" w:line="233" w:lineRule="auto"/>
        <w:rPr>
          <w:rFonts w:ascii="PT Astra Serif" w:hAnsi="PT Astra Serif"/>
          <w:sz w:val="28"/>
          <w:szCs w:val="28"/>
          <w:highlight w:val="white"/>
        </w:rPr>
      </w:pPr>
      <w:r>
        <w:rPr>
          <w:rFonts w:ascii="PT Astra Serif" w:hAnsi="PT Astra Serif"/>
          <w:sz w:val="28"/>
          <w:szCs w:val="28"/>
          <w:highlight w:val="white"/>
        </w:rPr>
        <w:t xml:space="preserve">2027 год – 152 559</w:t>
      </w:r>
      <w:r>
        <w:rPr>
          <w:rFonts w:ascii="PT Astra Serif" w:hAnsi="PT Astra Serif"/>
          <w:color w:val="000000" w:themeColor="text1"/>
          <w:sz w:val="28"/>
          <w:szCs w:val="28"/>
          <w:highlight w:val="white"/>
        </w:rPr>
        <w:t xml:space="preserve">,80000</w:t>
      </w:r>
      <w:r>
        <w:rPr>
          <w:rFonts w:ascii="PT Astra Serif" w:hAnsi="PT Astra Serif"/>
          <w:sz w:val="28"/>
          <w:szCs w:val="28"/>
          <w:highlight w:val="white"/>
        </w:rPr>
        <w:t xml:space="preserve"> тыс. рублей;</w:t>
      </w:r>
      <w:r>
        <w:rPr>
          <w:rFonts w:ascii="PT Astra Serif" w:hAnsi="PT Astra Serif"/>
          <w:sz w:val="28"/>
          <w:szCs w:val="28"/>
          <w:highlight w:val="white"/>
        </w:rPr>
      </w:r>
      <w:r>
        <w:rPr>
          <w:rFonts w:ascii="PT Astra Serif" w:hAnsi="PT Astra Serif"/>
          <w:sz w:val="28"/>
          <w:szCs w:val="28"/>
          <w:highlight w:val="white"/>
        </w:rPr>
      </w:r>
    </w:p>
    <w:p>
      <w:pPr>
        <w:ind w:firstLine="709"/>
        <w:jc w:val="both"/>
        <w:spacing w:after="0" w:line="233" w:lineRule="auto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highlight w:val="white"/>
        </w:rPr>
        <w:t xml:space="preserve">2028 год – 152 396,2</w:t>
      </w:r>
      <w:r>
        <w:rPr>
          <w:rFonts w:ascii="PT Astra Serif" w:hAnsi="PT Astra Serif"/>
          <w:color w:val="000000" w:themeColor="text1"/>
          <w:sz w:val="28"/>
          <w:szCs w:val="28"/>
          <w:highlight w:val="white"/>
        </w:rPr>
        <w:t xml:space="preserve">0000 тыс. рублей.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33" w:lineRule="auto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в том числе за счет краевого бюджета – 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br/>
        <w:t xml:space="preserve">8 617,00000 тыс. 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рублей: 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33" w:lineRule="auto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2022 год – 0,0 тыс. рублей;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33" w:lineRule="auto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2023 год – 8 617,0 тыс. рублей;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33" w:lineRule="auto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2024 год – 0,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0 тыс. рублей;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33" w:lineRule="auto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2025 год – 0,00000 тыс. рублей;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33" w:lineRule="auto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2026 год – 0,00000 тыс. рублей;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33" w:lineRule="auto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2027 год – 0,00000 тыс. рублей;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33" w:lineRule="auto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2028 год – 0,00000 тыс. 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рублей, 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33" w:lineRule="auto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в том числе за счет средств бюджета города Барнаула – 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br/>
      </w:r>
      <w:r>
        <w:rPr>
          <w:rFonts w:ascii="PT Astra Serif" w:hAnsi="PT Astra Serif"/>
          <w:sz w:val="28"/>
          <w:szCs w:val="28"/>
        </w:rPr>
        <w:t xml:space="preserve">910 971,44290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 тыс. 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рублей: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33" w:lineRule="auto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2022 год – 0,0 тыс. рублей;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33" w:lineRule="auto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2023 год – 77044,8 тыс. рублей; 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33" w:lineRule="auto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2024 год – 101 927,7 тыс. рублей;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33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2025 год – 210</w:t>
      </w:r>
      <w:r>
        <w:rPr>
          <w:rFonts w:ascii="PT Astra Serif" w:hAnsi="PT Astra Serif"/>
          <w:color w:val="000000" w:themeColor="text1"/>
          <w:sz w:val="28"/>
          <w:szCs w:val="28"/>
        </w:rPr>
        <w:t xml:space="preserve"> 173,14290 </w:t>
      </w:r>
      <w:r>
        <w:rPr>
          <w:rFonts w:ascii="PT Astra Serif" w:hAnsi="PT Astra Serif"/>
          <w:sz w:val="28"/>
          <w:szCs w:val="28"/>
        </w:rPr>
        <w:t xml:space="preserve">тыс. рублей; </w:t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ind w:firstLine="709"/>
        <w:jc w:val="both"/>
        <w:spacing w:after="0" w:line="233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2026 год – 216 869,8</w:t>
      </w:r>
      <w:r>
        <w:rPr>
          <w:rFonts w:ascii="PT Astra Serif" w:hAnsi="PT Astra Serif"/>
          <w:color w:val="000000" w:themeColor="text1"/>
          <w:sz w:val="28"/>
          <w:szCs w:val="28"/>
        </w:rPr>
        <w:t xml:space="preserve">0000</w:t>
      </w:r>
      <w:r>
        <w:rPr>
          <w:rFonts w:ascii="PT Astra Serif" w:hAnsi="PT Astra Serif"/>
          <w:sz w:val="28"/>
          <w:szCs w:val="28"/>
        </w:rPr>
        <w:t xml:space="preserve"> тыс. рублей;</w:t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ind w:firstLine="709"/>
        <w:jc w:val="both"/>
        <w:spacing w:after="0" w:line="233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2027 год – 152 559</w:t>
      </w:r>
      <w:r>
        <w:rPr>
          <w:rFonts w:ascii="PT Astra Serif" w:hAnsi="PT Astra Serif"/>
          <w:color w:val="000000" w:themeColor="text1"/>
          <w:sz w:val="28"/>
          <w:szCs w:val="28"/>
        </w:rPr>
        <w:t xml:space="preserve">,80000</w:t>
      </w:r>
      <w:r>
        <w:rPr>
          <w:rFonts w:ascii="PT Astra Serif" w:hAnsi="PT Astra Serif"/>
          <w:sz w:val="28"/>
          <w:szCs w:val="28"/>
        </w:rPr>
        <w:t xml:space="preserve"> тыс. рублей;</w:t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ind w:firstLine="709"/>
        <w:jc w:val="both"/>
        <w:spacing w:after="0" w:line="233" w:lineRule="auto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 xml:space="preserve">2028 год – 152 396,2</w:t>
      </w:r>
      <w:r>
        <w:rPr>
          <w:rFonts w:ascii="PT Astra Serif" w:hAnsi="PT Astra Serif"/>
          <w:color w:val="000000" w:themeColor="text1"/>
          <w:sz w:val="28"/>
          <w:szCs w:val="28"/>
        </w:rPr>
        <w:t xml:space="preserve">0000 тыс. рублей</w:t>
      </w:r>
      <w:r>
        <w:rPr>
          <w:rFonts w:ascii="PT Astra Serif" w:hAnsi="PT Astra Serif"/>
          <w:sz w:val="28"/>
          <w:szCs w:val="28"/>
        </w:rPr>
        <w:t xml:space="preserve">.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33" w:lineRule="auto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Финансирование отдельных мероприятий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 Подпрограммы 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br/>
        <w:t xml:space="preserve">в 2022 году осуществлялось за счет средств, предусмотренных в рамках муниципальных программ «Развитие образования и молодежной политики города Барнаула», «Благоустройство, экологическая безопасность и природопользование города Барнаула на 20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15 – 2040 годы», «Развитие физической культуры и спорта в городе Барнауле», «Развитие культуры города Барнаула на 2015 – 2024 годы».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33" w:lineRule="auto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Реализация мероприятий в рамках Подпрограммы 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br/>
        <w:t xml:space="preserve">в части финансирования из средств бюджета города Барнаула является расходным 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обязательством городского округа – города Барнаула Алтайского края. 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33" w:lineRule="auto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Объемы финансирования подлежат ежегодному уточнению в соответствии с решением Барнаульской городской Думы о бюджете города Барнаула на очередной финансовый год и на плановый период.»;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33" w:lineRule="auto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1.7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. Приложения 5, 6, 7 к муниципальной программе 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br/>
        <w:t xml:space="preserve">«Совершенствование муниципального управления и реализация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br/>
        <w:t xml:space="preserve"> национальной политики в городе Барнауле» изложить в новой редакции (приложения 5, 6, 7).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33" w:lineRule="auto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2. Постановление вступает в силу со дня официального опублик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ования и распространяет свое действие на правоотношения, возникшие с 01.01.2026.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33" w:lineRule="auto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3. Комитету информационной политики (Андреева Е.С.) обеспечить опубликование постановления в газете «Вечерний Барнаул» 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br/>
        <w:t xml:space="preserve">(за исключением приложений) и официальном сетевом издан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ии «Правовой портал администрации 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г.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Барнаула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».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33" w:lineRule="auto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ascii="PT Astra Serif" w:hAnsi="PT Astra Serif" w:eastAsia="Times New Roman" w:cs="Times New Roman"/>
          <w:sz w:val="28"/>
          <w:szCs w:val="28"/>
          <w:lang w:eastAsia="ru-RU"/>
        </w:rPr>
        <w:t xml:space="preserve">4. Контроль за исполнением постановления возложить на заместителя главы администрации города по экономической политике.</w:t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</w:p>
    <w:p>
      <w:pPr>
        <w:pStyle w:val="900"/>
        <w:spacing w:line="20" w:lineRule="atLeas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pStyle w:val="900"/>
        <w:spacing w:line="20" w:lineRule="atLeas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pStyle w:val="716"/>
        <w:ind w:right="-2"/>
        <w:spacing w:line="20" w:lineRule="atLeas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Глава города                                                                           </w:t>
      </w:r>
      <w:r>
        <w:rPr>
          <w:rFonts w:ascii="PT Astra Serif" w:hAnsi="PT Astra Serif"/>
          <w:sz w:val="28"/>
          <w:szCs w:val="28"/>
        </w:rPr>
        <w:t xml:space="preserve">             В.Г. Франк</w:t>
      </w:r>
      <w:r>
        <w:rPr>
          <w:rFonts w:ascii="PT Astra Serif" w:hAnsi="PT Astra Serif"/>
          <w:sz w:val="28"/>
          <w:szCs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9109075</wp:posOffset>
                </wp:positionH>
                <wp:positionV relativeFrom="paragraph">
                  <wp:posOffset>-872490</wp:posOffset>
                </wp:positionV>
                <wp:extent cx="304800" cy="333375"/>
                <wp:effectExtent l="0" t="0" r="19050" b="28575"/>
                <wp:wrapNone/>
                <wp:docPr id="2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1" type="#_x0000_t1" style="position:absolute;z-index:251658240;o:allowoverlap:true;o:allowincell:true;mso-position-horizontal-relative:margin;margin-left:717.25pt;mso-position-horizontal:absolute;mso-position-vertical-relative:text;margin-top:-68.70pt;mso-position-vertical:absolute;width:24.00pt;height:26.25pt;mso-wrap-distance-left:9.00pt;mso-wrap-distance-top:0.00pt;mso-wrap-distance-right:9.00pt;mso-wrap-distance-bottom:0.00pt;visibility:visible;" fillcolor="#FFFFFF" strokecolor="#FFFFFF" strokeweight="0.75pt"/>
            </w:pict>
          </mc:Fallback>
        </mc:AlternateContent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ind w:right="5102"/>
        <w:jc w:val="both"/>
        <w:spacing w:after="0" w:line="240" w:lineRule="auto"/>
        <w:tabs>
          <w:tab w:val="left" w:pos="3969" w:leader="none"/>
        </w:tabs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  <w:r>
        <w:rPr>
          <w:rFonts w:ascii="PT Astra Serif" w:hAnsi="PT Astra Serif" w:eastAsia="Times New Roman" w:cs="Times New Roman"/>
          <w:sz w:val="28"/>
          <w:szCs w:val="28"/>
          <w:lang w:eastAsia="ru-RU"/>
        </w:rPr>
      </w:r>
    </w:p>
    <w:sectPr>
      <w:headerReference w:type="default" r:id="rId8"/>
      <w:headerReference w:type="first" r:id="rId9"/>
      <w:footnotePr/>
      <w:endnotePr/>
      <w:type w:val="nextPage"/>
      <w:pgSz w:w="11909" w:h="16834" w:orient="portrait"/>
      <w:pgMar w:top="1134" w:right="851" w:bottom="1134" w:left="1985" w:header="567" w:footer="720" w:gutter="0"/>
      <w:pgNumType w:start="1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Black">
    <w:panose1 w:val="020B0704020202020204"/>
  </w:font>
  <w:font w:name="Calibri">
    <w:panose1 w:val="020F0502020204030204"/>
  </w:font>
  <w:font w:name="Times New Roman">
    <w:panose1 w:val="02020603050405020304"/>
  </w:font>
  <w:font w:name="Tahoma">
    <w:panose1 w:val="020B0604030504040204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691141628"/>
      <w:docPartObj>
        <w:docPartGallery w:val="Page Numbers (Top of Page)"/>
        <w:docPartUnique w:val="true"/>
      </w:docPartObj>
      <w:rPr/>
    </w:sdtPr>
    <w:sdtContent>
      <w:p>
        <w:pPr>
          <w:pStyle w:val="895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</w:rPr>
          <w:t xml:space="preserve">2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</w:r>
        <w:r>
          <w:rPr>
            <w:rFonts w:ascii="Times New Roman" w:hAnsi="Times New Roman" w:cs="Times New Roman"/>
            <w:sz w:val="24"/>
            <w:szCs w:val="24"/>
          </w:rPr>
        </w:r>
      </w:p>
    </w:sdtContent>
  </w:sdt>
  <w:p>
    <w:pPr>
      <w:pStyle w:val="895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5"/>
      <w:jc w:val="center"/>
    </w:pPr>
    <w:r>
      <w:rPr>
        <w:b/>
        <w:spacing w:val="-11"/>
        <w:lang w:eastAsia="ru-RU"/>
      </w:rPr>
      <mc:AlternateContent>
        <mc:Choice Requires="wpg">
          <w:drawing>
            <wp:inline xmlns:wp="http://schemas.openxmlformats.org/drawingml/2006/wordprocessingDrawing" distT="0" distB="0" distL="0" distR="0">
              <wp:extent cx="594000" cy="723600"/>
              <wp:effectExtent l="0" t="0" r="0" b="635"/>
              <wp:docPr id="1" name="Рисунок 7" descr="G:\ivc\Сапожников\Герб5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G:\ivc\Сапожников\Герб5.png"/>
                      <pic:cNvPicPr>
                        <a:picLocks noChangeAspect="1"/>
                      </pic:cNvPicPr>
                      <pic:nvPr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594000" cy="723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width:46.77pt;height:56.98pt;mso-wrap-distance-left:0.00pt;mso-wrap-distance-top:0.00pt;mso-wrap-distance-right:0.00pt;mso-wrap-distance-bottom:0.00pt;" stroked="f">
              <v:path textboxrect="0,0,0,0"/>
              <v:imagedata r:id="rId1" o:title=""/>
            </v:shape>
          </w:pict>
        </mc:Fallback>
      </mc:AlternateContent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00">
    <w:name w:val="Heading 2 Char"/>
    <w:basedOn w:val="725"/>
    <w:link w:val="717"/>
    <w:uiPriority w:val="9"/>
    <w:rPr>
      <w:rFonts w:ascii="Arial" w:hAnsi="Arial" w:eastAsia="Arial" w:cs="Arial"/>
      <w:sz w:val="34"/>
    </w:rPr>
  </w:style>
  <w:style w:type="character" w:styleId="701">
    <w:name w:val="Heading 3 Char"/>
    <w:basedOn w:val="725"/>
    <w:link w:val="718"/>
    <w:uiPriority w:val="9"/>
    <w:rPr>
      <w:rFonts w:ascii="Arial" w:hAnsi="Arial" w:eastAsia="Arial" w:cs="Arial"/>
      <w:sz w:val="30"/>
      <w:szCs w:val="30"/>
    </w:rPr>
  </w:style>
  <w:style w:type="character" w:styleId="702">
    <w:name w:val="Heading 4 Char"/>
    <w:basedOn w:val="725"/>
    <w:link w:val="719"/>
    <w:uiPriority w:val="9"/>
    <w:rPr>
      <w:rFonts w:ascii="Arial" w:hAnsi="Arial" w:eastAsia="Arial" w:cs="Arial"/>
      <w:b/>
      <w:bCs/>
      <w:sz w:val="26"/>
      <w:szCs w:val="26"/>
    </w:rPr>
  </w:style>
  <w:style w:type="character" w:styleId="703">
    <w:name w:val="Heading 5 Char"/>
    <w:basedOn w:val="725"/>
    <w:link w:val="720"/>
    <w:uiPriority w:val="9"/>
    <w:rPr>
      <w:rFonts w:ascii="Arial" w:hAnsi="Arial" w:eastAsia="Arial" w:cs="Arial"/>
      <w:b/>
      <w:bCs/>
      <w:sz w:val="24"/>
      <w:szCs w:val="24"/>
    </w:rPr>
  </w:style>
  <w:style w:type="character" w:styleId="704">
    <w:name w:val="Heading 6 Char"/>
    <w:basedOn w:val="725"/>
    <w:link w:val="721"/>
    <w:uiPriority w:val="9"/>
    <w:rPr>
      <w:rFonts w:ascii="Arial" w:hAnsi="Arial" w:eastAsia="Arial" w:cs="Arial"/>
      <w:b/>
      <w:bCs/>
      <w:sz w:val="22"/>
      <w:szCs w:val="22"/>
    </w:rPr>
  </w:style>
  <w:style w:type="character" w:styleId="705">
    <w:name w:val="Heading 7 Char"/>
    <w:basedOn w:val="725"/>
    <w:link w:val="72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6">
    <w:name w:val="Heading 8 Char"/>
    <w:basedOn w:val="725"/>
    <w:link w:val="723"/>
    <w:uiPriority w:val="9"/>
    <w:rPr>
      <w:rFonts w:ascii="Arial" w:hAnsi="Arial" w:eastAsia="Arial" w:cs="Arial"/>
      <w:i/>
      <w:iCs/>
      <w:sz w:val="22"/>
      <w:szCs w:val="22"/>
    </w:rPr>
  </w:style>
  <w:style w:type="character" w:styleId="707">
    <w:name w:val="Heading 9 Char"/>
    <w:basedOn w:val="725"/>
    <w:link w:val="724"/>
    <w:uiPriority w:val="9"/>
    <w:rPr>
      <w:rFonts w:ascii="Arial" w:hAnsi="Arial" w:eastAsia="Arial" w:cs="Arial"/>
      <w:i/>
      <w:iCs/>
      <w:sz w:val="21"/>
      <w:szCs w:val="21"/>
    </w:rPr>
  </w:style>
  <w:style w:type="character" w:styleId="708">
    <w:name w:val="Title Char"/>
    <w:basedOn w:val="725"/>
    <w:link w:val="739"/>
    <w:uiPriority w:val="10"/>
    <w:rPr>
      <w:sz w:val="48"/>
      <w:szCs w:val="48"/>
    </w:rPr>
  </w:style>
  <w:style w:type="character" w:styleId="709">
    <w:name w:val="Subtitle Char"/>
    <w:basedOn w:val="725"/>
    <w:link w:val="741"/>
    <w:uiPriority w:val="11"/>
    <w:rPr>
      <w:sz w:val="24"/>
      <w:szCs w:val="24"/>
    </w:rPr>
  </w:style>
  <w:style w:type="character" w:styleId="710">
    <w:name w:val="Quote Char"/>
    <w:link w:val="743"/>
    <w:uiPriority w:val="29"/>
    <w:rPr>
      <w:i/>
    </w:rPr>
  </w:style>
  <w:style w:type="character" w:styleId="711">
    <w:name w:val="Intense Quote Char"/>
    <w:link w:val="745"/>
    <w:uiPriority w:val="30"/>
    <w:rPr>
      <w:i/>
    </w:rPr>
  </w:style>
  <w:style w:type="character" w:styleId="712">
    <w:name w:val="Caption Char"/>
    <w:basedOn w:val="725"/>
    <w:link w:val="749"/>
    <w:uiPriority w:val="35"/>
    <w:rPr>
      <w:b/>
      <w:bCs/>
      <w:color w:val="4f81bd" w:themeColor="accent1"/>
      <w:sz w:val="18"/>
      <w:szCs w:val="18"/>
    </w:rPr>
  </w:style>
  <w:style w:type="character" w:styleId="713">
    <w:name w:val="Footnote Text Char"/>
    <w:link w:val="876"/>
    <w:uiPriority w:val="99"/>
    <w:rPr>
      <w:sz w:val="18"/>
    </w:rPr>
  </w:style>
  <w:style w:type="character" w:styleId="714">
    <w:name w:val="Endnote Text Char"/>
    <w:link w:val="879"/>
    <w:uiPriority w:val="99"/>
    <w:rPr>
      <w:sz w:val="20"/>
    </w:rPr>
  </w:style>
  <w:style w:type="paragraph" w:styleId="715" w:default="1">
    <w:name w:val="Normal"/>
    <w:qFormat/>
  </w:style>
  <w:style w:type="paragraph" w:styleId="716">
    <w:name w:val="Heading 1"/>
    <w:basedOn w:val="900"/>
    <w:next w:val="900"/>
    <w:link w:val="899"/>
    <w:qFormat/>
    <w:pPr>
      <w:jc w:val="both"/>
      <w:keepNext/>
      <w:outlineLvl w:val="0"/>
    </w:pPr>
    <w:rPr>
      <w:sz w:val="24"/>
    </w:rPr>
  </w:style>
  <w:style w:type="paragraph" w:styleId="717">
    <w:name w:val="Heading 2"/>
    <w:basedOn w:val="715"/>
    <w:next w:val="715"/>
    <w:link w:val="729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718">
    <w:name w:val="Heading 3"/>
    <w:basedOn w:val="715"/>
    <w:next w:val="715"/>
    <w:link w:val="730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719">
    <w:name w:val="Heading 4"/>
    <w:basedOn w:val="715"/>
    <w:next w:val="715"/>
    <w:link w:val="731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20">
    <w:name w:val="Heading 5"/>
    <w:basedOn w:val="715"/>
    <w:next w:val="715"/>
    <w:link w:val="732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21">
    <w:name w:val="Heading 6"/>
    <w:basedOn w:val="715"/>
    <w:next w:val="715"/>
    <w:link w:val="733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722">
    <w:name w:val="Heading 7"/>
    <w:basedOn w:val="715"/>
    <w:next w:val="715"/>
    <w:link w:val="734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723">
    <w:name w:val="Heading 8"/>
    <w:basedOn w:val="715"/>
    <w:next w:val="715"/>
    <w:link w:val="735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724">
    <w:name w:val="Heading 9"/>
    <w:basedOn w:val="715"/>
    <w:next w:val="715"/>
    <w:link w:val="736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5" w:default="1">
    <w:name w:val="Default Paragraph Font"/>
    <w:uiPriority w:val="1"/>
    <w:semiHidden/>
    <w:unhideWhenUsed/>
  </w:style>
  <w:style w:type="table" w:styleId="72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27" w:default="1">
    <w:name w:val="No List"/>
    <w:uiPriority w:val="99"/>
    <w:semiHidden/>
    <w:unhideWhenUsed/>
  </w:style>
  <w:style w:type="character" w:styleId="728" w:customStyle="1">
    <w:name w:val="Heading 1 Char"/>
    <w:basedOn w:val="725"/>
    <w:uiPriority w:val="9"/>
    <w:rPr>
      <w:rFonts w:ascii="Arial" w:hAnsi="Arial" w:eastAsia="Arial" w:cs="Arial"/>
      <w:sz w:val="40"/>
      <w:szCs w:val="40"/>
    </w:rPr>
  </w:style>
  <w:style w:type="character" w:styleId="729" w:customStyle="1">
    <w:name w:val="Заголовок 2 Знак"/>
    <w:basedOn w:val="725"/>
    <w:link w:val="717"/>
    <w:uiPriority w:val="9"/>
    <w:rPr>
      <w:rFonts w:ascii="Arial" w:hAnsi="Arial" w:eastAsia="Arial" w:cs="Arial"/>
      <w:sz w:val="34"/>
    </w:rPr>
  </w:style>
  <w:style w:type="character" w:styleId="730" w:customStyle="1">
    <w:name w:val="Заголовок 3 Знак"/>
    <w:basedOn w:val="725"/>
    <w:link w:val="718"/>
    <w:uiPriority w:val="9"/>
    <w:rPr>
      <w:rFonts w:ascii="Arial" w:hAnsi="Arial" w:eastAsia="Arial" w:cs="Arial"/>
      <w:sz w:val="30"/>
      <w:szCs w:val="30"/>
    </w:rPr>
  </w:style>
  <w:style w:type="character" w:styleId="731" w:customStyle="1">
    <w:name w:val="Заголовок 4 Знак"/>
    <w:basedOn w:val="725"/>
    <w:link w:val="719"/>
    <w:uiPriority w:val="9"/>
    <w:rPr>
      <w:rFonts w:ascii="Arial" w:hAnsi="Arial" w:eastAsia="Arial" w:cs="Arial"/>
      <w:b/>
      <w:bCs/>
      <w:sz w:val="26"/>
      <w:szCs w:val="26"/>
    </w:rPr>
  </w:style>
  <w:style w:type="character" w:styleId="732" w:customStyle="1">
    <w:name w:val="Заголовок 5 Знак"/>
    <w:basedOn w:val="725"/>
    <w:link w:val="720"/>
    <w:uiPriority w:val="9"/>
    <w:rPr>
      <w:rFonts w:ascii="Arial" w:hAnsi="Arial" w:eastAsia="Arial" w:cs="Arial"/>
      <w:b/>
      <w:bCs/>
      <w:sz w:val="24"/>
      <w:szCs w:val="24"/>
    </w:rPr>
  </w:style>
  <w:style w:type="character" w:styleId="733" w:customStyle="1">
    <w:name w:val="Заголовок 6 Знак"/>
    <w:basedOn w:val="725"/>
    <w:link w:val="721"/>
    <w:uiPriority w:val="9"/>
    <w:rPr>
      <w:rFonts w:ascii="Arial" w:hAnsi="Arial" w:eastAsia="Arial" w:cs="Arial"/>
      <w:b/>
      <w:bCs/>
      <w:sz w:val="22"/>
      <w:szCs w:val="22"/>
    </w:rPr>
  </w:style>
  <w:style w:type="character" w:styleId="734" w:customStyle="1">
    <w:name w:val="Заголовок 7 Знак"/>
    <w:basedOn w:val="725"/>
    <w:link w:val="72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35" w:customStyle="1">
    <w:name w:val="Заголовок 8 Знак"/>
    <w:basedOn w:val="725"/>
    <w:link w:val="723"/>
    <w:uiPriority w:val="9"/>
    <w:rPr>
      <w:rFonts w:ascii="Arial" w:hAnsi="Arial" w:eastAsia="Arial" w:cs="Arial"/>
      <w:i/>
      <w:iCs/>
      <w:sz w:val="22"/>
      <w:szCs w:val="22"/>
    </w:rPr>
  </w:style>
  <w:style w:type="character" w:styleId="736" w:customStyle="1">
    <w:name w:val="Заголовок 9 Знак"/>
    <w:basedOn w:val="725"/>
    <w:link w:val="724"/>
    <w:uiPriority w:val="9"/>
    <w:rPr>
      <w:rFonts w:ascii="Arial" w:hAnsi="Arial" w:eastAsia="Arial" w:cs="Arial"/>
      <w:i/>
      <w:iCs/>
      <w:sz w:val="21"/>
      <w:szCs w:val="21"/>
    </w:rPr>
  </w:style>
  <w:style w:type="paragraph" w:styleId="737">
    <w:name w:val="List Paragraph"/>
    <w:basedOn w:val="715"/>
    <w:uiPriority w:val="34"/>
    <w:qFormat/>
    <w:pPr>
      <w:contextualSpacing/>
      <w:ind w:left="720"/>
    </w:pPr>
  </w:style>
  <w:style w:type="paragraph" w:styleId="738">
    <w:name w:val="No Spacing"/>
    <w:uiPriority w:val="1"/>
    <w:qFormat/>
    <w:pPr>
      <w:spacing w:after="0" w:line="240" w:lineRule="auto"/>
    </w:pPr>
  </w:style>
  <w:style w:type="paragraph" w:styleId="739">
    <w:name w:val="Title"/>
    <w:basedOn w:val="715"/>
    <w:next w:val="715"/>
    <w:link w:val="740"/>
    <w:uiPriority w:val="10"/>
    <w:qFormat/>
    <w:pPr>
      <w:contextualSpacing/>
      <w:spacing w:before="300"/>
    </w:pPr>
    <w:rPr>
      <w:sz w:val="48"/>
      <w:szCs w:val="48"/>
    </w:rPr>
  </w:style>
  <w:style w:type="character" w:styleId="740" w:customStyle="1">
    <w:name w:val="Название Знак"/>
    <w:basedOn w:val="725"/>
    <w:link w:val="739"/>
    <w:uiPriority w:val="10"/>
    <w:rPr>
      <w:sz w:val="48"/>
      <w:szCs w:val="48"/>
    </w:rPr>
  </w:style>
  <w:style w:type="paragraph" w:styleId="741">
    <w:name w:val="Subtitle"/>
    <w:basedOn w:val="715"/>
    <w:next w:val="715"/>
    <w:link w:val="742"/>
    <w:uiPriority w:val="11"/>
    <w:qFormat/>
    <w:pPr>
      <w:spacing w:before="200"/>
    </w:pPr>
    <w:rPr>
      <w:sz w:val="24"/>
      <w:szCs w:val="24"/>
    </w:rPr>
  </w:style>
  <w:style w:type="character" w:styleId="742" w:customStyle="1">
    <w:name w:val="Подзаголовок Знак"/>
    <w:basedOn w:val="725"/>
    <w:link w:val="741"/>
    <w:uiPriority w:val="11"/>
    <w:rPr>
      <w:sz w:val="24"/>
      <w:szCs w:val="24"/>
    </w:rPr>
  </w:style>
  <w:style w:type="paragraph" w:styleId="743">
    <w:name w:val="Quote"/>
    <w:basedOn w:val="715"/>
    <w:next w:val="715"/>
    <w:link w:val="744"/>
    <w:uiPriority w:val="29"/>
    <w:qFormat/>
    <w:pPr>
      <w:ind w:left="720" w:right="720"/>
    </w:pPr>
    <w:rPr>
      <w:i/>
    </w:rPr>
  </w:style>
  <w:style w:type="character" w:styleId="744" w:customStyle="1">
    <w:name w:val="Цитата 2 Знак"/>
    <w:link w:val="743"/>
    <w:uiPriority w:val="29"/>
    <w:rPr>
      <w:i/>
    </w:rPr>
  </w:style>
  <w:style w:type="paragraph" w:styleId="745">
    <w:name w:val="Intense Quote"/>
    <w:basedOn w:val="715"/>
    <w:next w:val="715"/>
    <w:link w:val="746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6" w:customStyle="1">
    <w:name w:val="Выделенная цитата Знак"/>
    <w:link w:val="745"/>
    <w:uiPriority w:val="30"/>
    <w:rPr>
      <w:i/>
    </w:rPr>
  </w:style>
  <w:style w:type="character" w:styleId="747" w:customStyle="1">
    <w:name w:val="Header Char"/>
    <w:basedOn w:val="725"/>
    <w:uiPriority w:val="99"/>
  </w:style>
  <w:style w:type="character" w:styleId="748" w:customStyle="1">
    <w:name w:val="Footer Char"/>
    <w:basedOn w:val="725"/>
    <w:uiPriority w:val="99"/>
  </w:style>
  <w:style w:type="paragraph" w:styleId="749">
    <w:name w:val="Caption"/>
    <w:basedOn w:val="715"/>
    <w:next w:val="715"/>
    <w:link w:val="750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50" w:customStyle="1">
    <w:name w:val="Название объекта Знак"/>
    <w:basedOn w:val="725"/>
    <w:link w:val="749"/>
    <w:uiPriority w:val="35"/>
    <w:rPr>
      <w:b/>
      <w:bCs/>
      <w:color w:val="4f81bd" w:themeColor="accent1"/>
      <w:sz w:val="18"/>
      <w:szCs w:val="18"/>
    </w:rPr>
  </w:style>
  <w:style w:type="table" w:styleId="751" w:customStyle="1">
    <w:name w:val="Table Grid Light"/>
    <w:basedOn w:val="726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52">
    <w:name w:val="Plain Table 1"/>
    <w:basedOn w:val="726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3">
    <w:name w:val="Plain Table 2"/>
    <w:basedOn w:val="726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4">
    <w:name w:val="Plain Table 3"/>
    <w:basedOn w:val="72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5">
    <w:name w:val="Plain Table 4"/>
    <w:basedOn w:val="72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Plain Table 5"/>
    <w:basedOn w:val="72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7">
    <w:name w:val="Grid Table 1 Light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 w:customStyle="1">
    <w:name w:val="Grid Table 1 Light - Accent 1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 w:customStyle="1">
    <w:name w:val="Grid Table 1 Light - Accent 2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 w:customStyle="1">
    <w:name w:val="Grid Table 1 Light - Accent 3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 w:customStyle="1">
    <w:name w:val="Grid Table 1 Light - Accent 4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Grid Table 1 Light - Accent 5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Grid Table 1 Light - Accent 6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2"/>
    <w:basedOn w:val="72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2 - Accent 1"/>
    <w:basedOn w:val="72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2 - Accent 2"/>
    <w:basedOn w:val="72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2 - Accent 3"/>
    <w:basedOn w:val="72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2 - Accent 4"/>
    <w:basedOn w:val="72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2 - Accent 5"/>
    <w:basedOn w:val="72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2 - Accent 6"/>
    <w:basedOn w:val="72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"/>
    <w:basedOn w:val="72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Grid Table 3 - Accent 1"/>
    <w:basedOn w:val="72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Grid Table 3 - Accent 2"/>
    <w:basedOn w:val="72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3 - Accent 3"/>
    <w:basedOn w:val="72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3 - Accent 4"/>
    <w:basedOn w:val="72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3 - Accent 5"/>
    <w:basedOn w:val="72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3 - Accent 6"/>
    <w:basedOn w:val="72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4"/>
    <w:basedOn w:val="726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9" w:customStyle="1">
    <w:name w:val="Grid Table 4 - Accent 1"/>
    <w:basedOn w:val="726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80" w:customStyle="1">
    <w:name w:val="Grid Table 4 - Accent 2"/>
    <w:basedOn w:val="726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81" w:customStyle="1">
    <w:name w:val="Grid Table 4 - Accent 3"/>
    <w:basedOn w:val="726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82" w:customStyle="1">
    <w:name w:val="Grid Table 4 - Accent 4"/>
    <w:basedOn w:val="726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83" w:customStyle="1">
    <w:name w:val="Grid Table 4 - Accent 5"/>
    <w:basedOn w:val="726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84" w:customStyle="1">
    <w:name w:val="Grid Table 4 - Accent 6"/>
    <w:basedOn w:val="726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85">
    <w:name w:val="Grid Table 5 Dark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86" w:customStyle="1">
    <w:name w:val="Grid Table 5 Dark- Accent 1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87" w:customStyle="1">
    <w:name w:val="Grid Table 5 Dark - Accent 2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88" w:customStyle="1">
    <w:name w:val="Grid Table 5 Dark - Accent 3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89" w:customStyle="1">
    <w:name w:val="Grid Table 5 Dark- Accent 4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90" w:customStyle="1">
    <w:name w:val="Grid Table 5 Dark - Accent 5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91" w:customStyle="1">
    <w:name w:val="Grid Table 5 Dark - Accent 6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92">
    <w:name w:val="Grid Table 6 Colorful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93" w:customStyle="1">
    <w:name w:val="Grid Table 6 Colorful - Accent 1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94" w:customStyle="1">
    <w:name w:val="Grid Table 6 Colorful - Accent 2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95" w:customStyle="1">
    <w:name w:val="Grid Table 6 Colorful - Accent 3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96" w:customStyle="1">
    <w:name w:val="Grid Table 6 Colorful - Accent 4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97" w:customStyle="1">
    <w:name w:val="Grid Table 6 Colorful - Accent 5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8" w:customStyle="1">
    <w:name w:val="Grid Table 6 Colorful - Accent 6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9">
    <w:name w:val="Grid Table 7 Colorful"/>
    <w:basedOn w:val="72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Grid Table 7 Colorful - Accent 1"/>
    <w:basedOn w:val="72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Grid Table 7 Colorful - Accent 2"/>
    <w:basedOn w:val="72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Grid Table 7 Colorful - Accent 3"/>
    <w:basedOn w:val="72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Grid Table 7 Colorful - Accent 4"/>
    <w:basedOn w:val="72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Grid Table 7 Colorful - Accent 5"/>
    <w:basedOn w:val="72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Grid Table 7 Colorful - Accent 6"/>
    <w:basedOn w:val="72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"/>
    <w:basedOn w:val="72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List Table 1 Light - Accent 1"/>
    <w:basedOn w:val="72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List Table 1 Light - Accent 2"/>
    <w:basedOn w:val="72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1 Light - Accent 3"/>
    <w:basedOn w:val="72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1 Light - Accent 4"/>
    <w:basedOn w:val="72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1 Light - Accent 5"/>
    <w:basedOn w:val="72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1 Light - Accent 6"/>
    <w:basedOn w:val="72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List Table 2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14" w:customStyle="1">
    <w:name w:val="List Table 2 - Accent 1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15" w:customStyle="1">
    <w:name w:val="List Table 2 - Accent 2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16" w:customStyle="1">
    <w:name w:val="List Table 2 - Accent 3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17" w:customStyle="1">
    <w:name w:val="List Table 2 - Accent 4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18" w:customStyle="1">
    <w:name w:val="List Table 2 - Accent 5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19" w:customStyle="1">
    <w:name w:val="List Table 2 - Accent 6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20">
    <w:name w:val="List Table 3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List Table 3 - Accent 1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3 - Accent 2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List Table 3 - Accent 3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List Table 3 - Accent 4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List Table 3 - Accent 5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List Table 3 - Accent 6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 w:customStyle="1">
    <w:name w:val="List Table 4 - Accent 1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 w:customStyle="1">
    <w:name w:val="List Table 4 - Accent 2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 w:customStyle="1">
    <w:name w:val="List Table 4 - Accent 3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 w:customStyle="1">
    <w:name w:val="List Table 4 - Accent 4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 w:customStyle="1">
    <w:name w:val="List Table 4 - Accent 5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 w:customStyle="1">
    <w:name w:val="List Table 4 - Accent 6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5 Dark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5" w:customStyle="1">
    <w:name w:val="List Table 5 Dark - Accent 1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6" w:customStyle="1">
    <w:name w:val="List Table 5 Dark - Accent 2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7" w:customStyle="1">
    <w:name w:val="List Table 5 Dark - Accent 3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8" w:customStyle="1">
    <w:name w:val="List Table 5 Dark - Accent 4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9" w:customStyle="1">
    <w:name w:val="List Table 5 Dark - Accent 5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0" w:customStyle="1">
    <w:name w:val="List Table 5 Dark - Accent 6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1">
    <w:name w:val="List Table 6 Colorful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42" w:customStyle="1">
    <w:name w:val="List Table 6 Colorful - Accent 1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43" w:customStyle="1">
    <w:name w:val="List Table 6 Colorful - Accent 2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44" w:customStyle="1">
    <w:name w:val="List Table 6 Colorful - Accent 3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45" w:customStyle="1">
    <w:name w:val="List Table 6 Colorful - Accent 4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46" w:customStyle="1">
    <w:name w:val="List Table 6 Colorful - Accent 5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47" w:customStyle="1">
    <w:name w:val="List Table 6 Colorful - Accent 6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48">
    <w:name w:val="List Table 7 Colorful"/>
    <w:basedOn w:val="72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 w:customStyle="1">
    <w:name w:val="List Table 7 Colorful - Accent 1"/>
    <w:basedOn w:val="72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 w:customStyle="1">
    <w:name w:val="List Table 7 Colorful - Accent 2"/>
    <w:basedOn w:val="72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 w:customStyle="1">
    <w:name w:val="List Table 7 Colorful - Accent 3"/>
    <w:basedOn w:val="72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 w:customStyle="1">
    <w:name w:val="List Table 7 Colorful - Accent 4"/>
    <w:basedOn w:val="72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 w:customStyle="1">
    <w:name w:val="List Table 7 Colorful - Accent 5"/>
    <w:basedOn w:val="72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 w:customStyle="1">
    <w:name w:val="List Table 7 Colorful - Accent 6"/>
    <w:basedOn w:val="72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 w:customStyle="1">
    <w:name w:val="Lined - Accent"/>
    <w:basedOn w:val="72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6" w:customStyle="1">
    <w:name w:val="Lined - Accent 1"/>
    <w:basedOn w:val="72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7" w:customStyle="1">
    <w:name w:val="Lined - Accent 2"/>
    <w:basedOn w:val="72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8" w:customStyle="1">
    <w:name w:val="Lined - Accent 3"/>
    <w:basedOn w:val="72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9" w:customStyle="1">
    <w:name w:val="Lined - Accent 4"/>
    <w:basedOn w:val="72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60" w:customStyle="1">
    <w:name w:val="Lined - Accent 5"/>
    <w:basedOn w:val="72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61" w:customStyle="1">
    <w:name w:val="Lined - Accent 6"/>
    <w:basedOn w:val="72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62" w:customStyle="1">
    <w:name w:val="Bordered &amp; Lined - Accent"/>
    <w:basedOn w:val="72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63" w:customStyle="1">
    <w:name w:val="Bordered &amp; Lined - Accent 1"/>
    <w:basedOn w:val="72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64" w:customStyle="1">
    <w:name w:val="Bordered &amp; Lined - Accent 2"/>
    <w:basedOn w:val="72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65" w:customStyle="1">
    <w:name w:val="Bordered &amp; Lined - Accent 3"/>
    <w:basedOn w:val="72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66" w:customStyle="1">
    <w:name w:val="Bordered &amp; Lined - Accent 4"/>
    <w:basedOn w:val="72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67" w:customStyle="1">
    <w:name w:val="Bordered &amp; Lined - Accent 5"/>
    <w:basedOn w:val="72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68" w:customStyle="1">
    <w:name w:val="Bordered &amp; Lined - Accent 6"/>
    <w:basedOn w:val="72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69" w:customStyle="1">
    <w:name w:val="Bordered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70" w:customStyle="1">
    <w:name w:val="Bordered - Accent 1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71" w:customStyle="1">
    <w:name w:val="Bordered - Accent 2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72" w:customStyle="1">
    <w:name w:val="Bordered - Accent 3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73" w:customStyle="1">
    <w:name w:val="Bordered - Accent 4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74" w:customStyle="1">
    <w:name w:val="Bordered - Accent 5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75" w:customStyle="1">
    <w:name w:val="Bordered - Accent 6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76">
    <w:name w:val="footnote text"/>
    <w:basedOn w:val="715"/>
    <w:link w:val="877"/>
    <w:uiPriority w:val="99"/>
    <w:semiHidden/>
    <w:unhideWhenUsed/>
    <w:pPr>
      <w:spacing w:after="40" w:line="240" w:lineRule="auto"/>
    </w:pPr>
    <w:rPr>
      <w:sz w:val="18"/>
    </w:rPr>
  </w:style>
  <w:style w:type="character" w:styleId="877" w:customStyle="1">
    <w:name w:val="Текст сноски Знак"/>
    <w:link w:val="876"/>
    <w:uiPriority w:val="99"/>
    <w:rPr>
      <w:sz w:val="18"/>
    </w:rPr>
  </w:style>
  <w:style w:type="character" w:styleId="878">
    <w:name w:val="footnote reference"/>
    <w:basedOn w:val="725"/>
    <w:uiPriority w:val="99"/>
    <w:unhideWhenUsed/>
    <w:rPr>
      <w:vertAlign w:val="superscript"/>
    </w:rPr>
  </w:style>
  <w:style w:type="paragraph" w:styleId="879">
    <w:name w:val="endnote text"/>
    <w:basedOn w:val="715"/>
    <w:link w:val="880"/>
    <w:uiPriority w:val="99"/>
    <w:semiHidden/>
    <w:unhideWhenUsed/>
    <w:pPr>
      <w:spacing w:after="0" w:line="240" w:lineRule="auto"/>
    </w:pPr>
    <w:rPr>
      <w:sz w:val="20"/>
    </w:rPr>
  </w:style>
  <w:style w:type="character" w:styleId="880" w:customStyle="1">
    <w:name w:val="Текст концевой сноски Знак"/>
    <w:link w:val="879"/>
    <w:uiPriority w:val="99"/>
    <w:rPr>
      <w:sz w:val="20"/>
    </w:rPr>
  </w:style>
  <w:style w:type="character" w:styleId="881">
    <w:name w:val="endnote reference"/>
    <w:basedOn w:val="725"/>
    <w:uiPriority w:val="99"/>
    <w:semiHidden/>
    <w:unhideWhenUsed/>
    <w:rPr>
      <w:vertAlign w:val="superscript"/>
    </w:rPr>
  </w:style>
  <w:style w:type="paragraph" w:styleId="882">
    <w:name w:val="toc 1"/>
    <w:basedOn w:val="715"/>
    <w:next w:val="715"/>
    <w:uiPriority w:val="39"/>
    <w:unhideWhenUsed/>
    <w:pPr>
      <w:spacing w:after="57"/>
    </w:pPr>
  </w:style>
  <w:style w:type="paragraph" w:styleId="883">
    <w:name w:val="toc 2"/>
    <w:basedOn w:val="715"/>
    <w:next w:val="715"/>
    <w:uiPriority w:val="39"/>
    <w:unhideWhenUsed/>
    <w:pPr>
      <w:ind w:left="283"/>
      <w:spacing w:after="57"/>
    </w:pPr>
  </w:style>
  <w:style w:type="paragraph" w:styleId="884">
    <w:name w:val="toc 3"/>
    <w:basedOn w:val="715"/>
    <w:next w:val="715"/>
    <w:uiPriority w:val="39"/>
    <w:unhideWhenUsed/>
    <w:pPr>
      <w:ind w:left="567"/>
      <w:spacing w:after="57"/>
    </w:pPr>
  </w:style>
  <w:style w:type="paragraph" w:styleId="885">
    <w:name w:val="toc 4"/>
    <w:basedOn w:val="715"/>
    <w:next w:val="715"/>
    <w:uiPriority w:val="39"/>
    <w:unhideWhenUsed/>
    <w:pPr>
      <w:ind w:left="850"/>
      <w:spacing w:after="57"/>
    </w:pPr>
  </w:style>
  <w:style w:type="paragraph" w:styleId="886">
    <w:name w:val="toc 5"/>
    <w:basedOn w:val="715"/>
    <w:next w:val="715"/>
    <w:uiPriority w:val="39"/>
    <w:unhideWhenUsed/>
    <w:pPr>
      <w:ind w:left="1134"/>
      <w:spacing w:after="57"/>
    </w:pPr>
  </w:style>
  <w:style w:type="paragraph" w:styleId="887">
    <w:name w:val="toc 6"/>
    <w:basedOn w:val="715"/>
    <w:next w:val="715"/>
    <w:uiPriority w:val="39"/>
    <w:unhideWhenUsed/>
    <w:pPr>
      <w:ind w:left="1417"/>
      <w:spacing w:after="57"/>
    </w:pPr>
  </w:style>
  <w:style w:type="paragraph" w:styleId="888">
    <w:name w:val="toc 7"/>
    <w:basedOn w:val="715"/>
    <w:next w:val="715"/>
    <w:uiPriority w:val="39"/>
    <w:unhideWhenUsed/>
    <w:pPr>
      <w:ind w:left="1701"/>
      <w:spacing w:after="57"/>
    </w:pPr>
  </w:style>
  <w:style w:type="paragraph" w:styleId="889">
    <w:name w:val="toc 8"/>
    <w:basedOn w:val="715"/>
    <w:next w:val="715"/>
    <w:uiPriority w:val="39"/>
    <w:unhideWhenUsed/>
    <w:pPr>
      <w:ind w:left="1984"/>
      <w:spacing w:after="57"/>
    </w:pPr>
  </w:style>
  <w:style w:type="paragraph" w:styleId="890">
    <w:name w:val="toc 9"/>
    <w:basedOn w:val="715"/>
    <w:next w:val="715"/>
    <w:uiPriority w:val="39"/>
    <w:unhideWhenUsed/>
    <w:pPr>
      <w:ind w:left="2268"/>
      <w:spacing w:after="57"/>
    </w:pPr>
  </w:style>
  <w:style w:type="paragraph" w:styleId="891">
    <w:name w:val="TOC Heading"/>
    <w:uiPriority w:val="39"/>
    <w:unhideWhenUsed/>
  </w:style>
  <w:style w:type="paragraph" w:styleId="892">
    <w:name w:val="table of figures"/>
    <w:basedOn w:val="715"/>
    <w:next w:val="715"/>
    <w:uiPriority w:val="99"/>
    <w:unhideWhenUsed/>
    <w:pPr>
      <w:spacing w:after="0"/>
    </w:pPr>
  </w:style>
  <w:style w:type="paragraph" w:styleId="893">
    <w:name w:val="Balloon Text"/>
    <w:basedOn w:val="715"/>
    <w:link w:val="89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94" w:customStyle="1">
    <w:name w:val="Текст выноски Знак"/>
    <w:basedOn w:val="725"/>
    <w:link w:val="893"/>
    <w:uiPriority w:val="99"/>
    <w:semiHidden/>
    <w:rPr>
      <w:rFonts w:ascii="Tahoma" w:hAnsi="Tahoma" w:cs="Tahoma"/>
      <w:sz w:val="16"/>
      <w:szCs w:val="16"/>
    </w:rPr>
  </w:style>
  <w:style w:type="paragraph" w:styleId="895">
    <w:name w:val="Header"/>
    <w:basedOn w:val="715"/>
    <w:link w:val="89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96" w:customStyle="1">
    <w:name w:val="Верхний колонтитул Знак"/>
    <w:basedOn w:val="725"/>
    <w:link w:val="895"/>
    <w:uiPriority w:val="99"/>
  </w:style>
  <w:style w:type="paragraph" w:styleId="897">
    <w:name w:val="Footer"/>
    <w:basedOn w:val="715"/>
    <w:link w:val="89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98" w:customStyle="1">
    <w:name w:val="Нижний колонтитул Знак"/>
    <w:basedOn w:val="725"/>
    <w:link w:val="897"/>
    <w:uiPriority w:val="99"/>
  </w:style>
  <w:style w:type="character" w:styleId="899" w:customStyle="1">
    <w:name w:val="Заголовок 1 Знак"/>
    <w:basedOn w:val="725"/>
    <w:link w:val="716"/>
    <w:rPr>
      <w:rFonts w:ascii="Times New Roman" w:hAnsi="Times New Roman" w:eastAsia="Times New Roman" w:cs="Times New Roman"/>
      <w:sz w:val="24"/>
      <w:szCs w:val="20"/>
      <w:lang w:eastAsia="ru-RU"/>
    </w:rPr>
  </w:style>
  <w:style w:type="paragraph" w:styleId="900" w:customStyle="1">
    <w:name w:val="Обычный1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table" w:styleId="901">
    <w:name w:val="Table Grid"/>
    <w:basedOn w:val="726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02">
    <w:name w:val="Hyperlink"/>
    <w:uiPriority w:val="99"/>
    <w:unhideWhenUsed/>
    <w:rPr>
      <w:color w:val="0000ff"/>
      <w:u w:val="single"/>
    </w:rPr>
  </w:style>
  <w:style w:type="paragraph" w:styleId="903" w:customStyle="1">
    <w:name w:val="s_16"/>
    <w:basedOn w:val="71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04" w:customStyle="1">
    <w:name w:val="s_1"/>
    <w:basedOn w:val="71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05" w:customStyle="1">
    <w:name w:val="ConsPlusNormal"/>
    <w:pPr>
      <w:spacing w:after="0" w:line="240" w:lineRule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Arial" w:hAnsi="Arial" w:eastAsia="Calibri" w:cs="Arial"/>
      <w:sz w:val="20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yperlink" Target="http://garant.adm.local/" TargetMode="External"/><Relationship Id="rId11" Type="http://schemas.openxmlformats.org/officeDocument/2006/relationships/hyperlink" Target="http://garant.adm.local/" TargetMode="External"/><Relationship Id="rId12" Type="http://schemas.openxmlformats.org/officeDocument/2006/relationships/hyperlink" Target="http://garant.adm.local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В. Трясунова</dc:creator>
  <cp:lastModifiedBy>berdova.yn</cp:lastModifiedBy>
  <cp:revision>79</cp:revision>
  <dcterms:created xsi:type="dcterms:W3CDTF">2025-04-30T04:24:00Z</dcterms:created>
  <dcterms:modified xsi:type="dcterms:W3CDTF">2025-12-24T09:37:10Z</dcterms:modified>
</cp:coreProperties>
</file>